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eastAsia="Batang"/>
          <w:b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3890" cy="88201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1026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3890" cy="8822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70pt;height:69.45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Batang"/>
          <w:b/>
          <w:sz w:val="24"/>
          <w:szCs w:val="24"/>
          <w:lang w:eastAsia="ko-KR"/>
        </w:rPr>
      </w:r>
    </w:p>
    <w:p>
      <w:pPr>
        <w:spacing w:after="0" w:line="240" w:lineRule="auto"/>
        <w:jc w:val="center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  <w:r>
        <w:rPr>
          <w:rFonts w:eastAsia="Batang"/>
          <w:sz w:val="24"/>
          <w:szCs w:val="24"/>
          <w:lang w:eastAsia="ko-KR"/>
        </w:rPr>
      </w:r>
    </w:p>
    <w:p>
      <w:pPr>
        <w:keepNext/>
        <w:spacing w:after="0" w:line="240" w:lineRule="auto"/>
        <w:jc w:val="center"/>
        <w:outlineLvl w:val="1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  <w:r>
        <w:rPr>
          <w:rFonts w:eastAsia="Times New Roman"/>
          <w:b/>
          <w:lang w:eastAsia="ru-RU"/>
        </w:rPr>
      </w:r>
    </w:p>
    <w:p>
      <w:pPr>
        <w:keepNext/>
        <w:spacing w:after="0"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ПОСТАНОВЛЕНИЕ</w:t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ko-KR"/>
        </w:rPr>
      </w:r>
      <w:r>
        <w:rPr>
          <w:rFonts w:eastAsia="Batang"/>
          <w:b/>
          <w:sz w:val="24"/>
          <w:szCs w:val="24"/>
        </w:rPr>
      </w:r>
    </w:p>
    <w:p>
      <w:pPr>
        <w:spacing w:after="0" w:line="240" w:lineRule="auto"/>
        <w:ind w:left="0" w:right="0" w:firstLine="0"/>
        <w:jc w:val="center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  <w:lang w:eastAsia="ko-KR"/>
        </w:rPr>
      </w:r>
      <w:r>
        <w:rPr>
          <w:rFonts w:eastAsia="Batang"/>
          <w:sz w:val="24"/>
          <w:szCs w:val="24"/>
        </w:rPr>
      </w:r>
    </w:p>
    <w:p>
      <w:pPr>
        <w:spacing w:after="0" w:line="240" w:lineRule="auto"/>
        <w:jc w:val="center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  <w:t xml:space="preserve">от 26 декабря 2025 года                                                                                                               № 893</w:t>
      </w:r>
      <w:r>
        <w:rPr>
          <w:rFonts w:eastAsia="Batang"/>
          <w:sz w:val="24"/>
          <w:szCs w:val="24"/>
          <w:lang w:eastAsia="ko-KR"/>
        </w:rPr>
      </w:r>
    </w:p>
    <w:p>
      <w:pPr>
        <w:spacing w:after="0" w:line="240" w:lineRule="auto"/>
        <w:jc w:val="center"/>
        <w:rPr>
          <w:rFonts w:eastAsia="Batang"/>
          <w:b/>
          <w:bCs/>
          <w:sz w:val="24"/>
          <w:szCs w:val="24"/>
          <w:lang w:eastAsia="ko-KR"/>
        </w:rPr>
      </w:pPr>
      <w:r>
        <w:rPr>
          <w:rFonts w:eastAsia="Batang"/>
          <w:b/>
          <w:bCs/>
          <w:sz w:val="24"/>
          <w:szCs w:val="24"/>
          <w:lang w:eastAsia="ko-KR"/>
        </w:rPr>
      </w:r>
      <w:r>
        <w:rPr>
          <w:rFonts w:eastAsia="Batang"/>
          <w:b/>
          <w:bCs/>
          <w:sz w:val="24"/>
          <w:szCs w:val="24"/>
          <w:lang w:eastAsia="ko-KR"/>
        </w:rPr>
      </w:r>
    </w:p>
    <w:p>
      <w:pPr>
        <w:spacing w:after="0" w:line="240" w:lineRule="auto"/>
        <w:jc w:val="center"/>
        <w:rPr>
          <w:rFonts w:eastAsia="Batang"/>
          <w:b/>
          <w:bCs/>
          <w:sz w:val="24"/>
          <w:szCs w:val="24"/>
          <w:lang w:eastAsia="ko-KR"/>
        </w:rPr>
      </w:pPr>
      <w:r>
        <w:rPr>
          <w:rFonts w:eastAsia="Batang"/>
          <w:b/>
          <w:bCs/>
          <w:sz w:val="24"/>
          <w:szCs w:val="24"/>
          <w:lang w:eastAsia="ko-KR"/>
        </w:rPr>
      </w:r>
      <w:r>
        <w:rPr>
          <w:rFonts w:eastAsia="Batang"/>
          <w:b/>
          <w:bCs/>
          <w:sz w:val="24"/>
          <w:szCs w:val="24"/>
          <w:lang w:eastAsia="ko-KR"/>
        </w:rPr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О внесении изменений в приложение к постановлению </w:t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администрации Белоярского района от 5 декабря 2024 года № 842</w:t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firstLine="540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  <w:r>
        <w:rPr>
          <w:rFonts w:eastAsia="Batang"/>
          <w:sz w:val="24"/>
          <w:szCs w:val="24"/>
          <w:lang w:eastAsia="ko-KR"/>
        </w:rPr>
      </w:r>
    </w:p>
    <w:p>
      <w:pPr>
        <w:spacing w:after="0" w:line="240" w:lineRule="auto"/>
        <w:ind w:firstLine="540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  <w:r>
        <w:rPr>
          <w:rFonts w:eastAsia="Batang"/>
          <w:sz w:val="24"/>
          <w:szCs w:val="24"/>
          <w:lang w:eastAsia="ko-KR"/>
        </w:rPr>
      </w:r>
    </w:p>
    <w:p>
      <w:pPr>
        <w:spacing w:after="0" w:line="240" w:lineRule="auto"/>
        <w:ind w:firstLine="540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  <w:r>
        <w:rPr>
          <w:rFonts w:eastAsia="Batang"/>
          <w:sz w:val="24"/>
          <w:szCs w:val="24"/>
          <w:lang w:eastAsia="ko-KR"/>
        </w:rPr>
      </w:r>
    </w:p>
    <w:p>
      <w:pPr>
        <w:pStyle w:val="868"/>
        <w:ind w:firstLine="6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На основании постановления администрации Белоярского района от 3 сентября 2018 года № 776 «Об утверждении Порядка принятия решений о разработке, формировании и реализации муниципальных программ Белоярского района» п о с т а н о в л я ю:</w:t>
      </w:r>
      <w:r>
        <w:rPr>
          <w:sz w:val="24"/>
          <w:szCs w:val="24"/>
          <w:lang w:eastAsia="ru-RU"/>
        </w:rPr>
      </w:r>
    </w:p>
    <w:p>
      <w:pPr>
        <w:pStyle w:val="868"/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  <w:lang w:eastAsia="ko-KR"/>
        </w:rPr>
        <w:t xml:space="preserve">1. </w:t>
      </w:r>
      <w:r>
        <w:rPr>
          <w:sz w:val="24"/>
          <w:szCs w:val="24"/>
          <w:lang w:eastAsia="ru-RU"/>
        </w:rPr>
        <w:t xml:space="preserve">Внести в приложение «Муниципальная программа Белоярского района «Развитие жилищно-коммунального комплекса и повышение энергетической эффективности» (далее также – муниципальная программа) к постановлению </w:t>
      </w:r>
      <w:r>
        <w:rPr>
          <w:sz w:val="24"/>
          <w:szCs w:val="24"/>
        </w:rPr>
        <w:t xml:space="preserve">администрации Белоярского района от </w:t>
      </w:r>
      <w:r>
        <w:rPr>
          <w:sz w:val="24"/>
          <w:szCs w:val="24"/>
          <w:lang w:eastAsia="ru-RU"/>
        </w:rPr>
        <w:t xml:space="preserve">5 декабря 2024 года № 842</w:t>
      </w:r>
      <w:r>
        <w:rPr>
          <w:sz w:val="24"/>
          <w:szCs w:val="24"/>
        </w:rPr>
        <w:t xml:space="preserve"> «Об утверждении муниципальной программы Белоярского района «Развитие жилищно-коммунального комплекса и повышение энергетической эффективности»</w:t>
      </w:r>
      <w:r>
        <w:rPr>
          <w:rFonts w:eastAsia="Times New Roman"/>
          <w:sz w:val="24"/>
          <w:szCs w:val="24"/>
          <w:lang w:eastAsia="ru-RU"/>
        </w:rPr>
        <w:t xml:space="preserve"> следующие изменения: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  <w:lang w:eastAsia="zh-CN" w:bidi="ar"/>
        </w:rPr>
        <w:t xml:space="preserve">1) строку «Объемы финансового обеспечения за весь период реализации» </w:t>
      </w:r>
      <w:r>
        <w:rPr>
          <w:rFonts w:eastAsia="Times New Roman"/>
          <w:sz w:val="24"/>
          <w:szCs w:val="24"/>
          <w:lang w:eastAsia="ru-RU"/>
        </w:rPr>
        <w:t xml:space="preserve">раздела 1 «Основные положения» Паспорта муниципальной программы Белоярского района «</w:t>
      </w:r>
      <w:r>
        <w:rPr>
          <w:sz w:val="24"/>
          <w:szCs w:val="24"/>
        </w:rPr>
        <w:t xml:space="preserve">Развитие жилищно-коммунального комплекса и повышение энергетической эффективности</w:t>
      </w:r>
      <w:r>
        <w:rPr>
          <w:rFonts w:eastAsia="Times New Roman"/>
          <w:sz w:val="24"/>
          <w:szCs w:val="24"/>
          <w:lang w:eastAsia="ru-RU"/>
        </w:rPr>
        <w:t xml:space="preserve">» (далее – Паспорт муниципальной программы) изложить в следующей редакции: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rFonts w:eastAsia="Times New Roman"/>
          <w:sz w:val="24"/>
          <w:szCs w:val="24"/>
          <w:lang w:eastAsia="ru-RU"/>
        </w:rPr>
      </w:r>
    </w:p>
    <w:tbl>
      <w:tblPr>
        <w:tblStyle w:val="679"/>
        <w:tblW w:w="4996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16"/>
        <w:gridCol w:w="5073"/>
      </w:tblGrid>
      <w:tr>
        <w:trPr>
          <w:trHeight w:val="300"/>
        </w:trPr>
        <w:tblPrEx/>
        <w:tc>
          <w:tcPr>
            <w:tcW w:w="24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</w:p>
        </w:tc>
        <w:tc>
          <w:tcPr>
            <w:tcW w:w="5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/>
              <w:rPr>
                <w:sz w:val="24"/>
                <w:szCs w:val="24"/>
                <w:lang w:eastAsia="zh-CN" w:bidi="ar"/>
              </w:rPr>
            </w:pPr>
            <w:r>
              <w:rPr>
                <w:sz w:val="24"/>
                <w:szCs w:val="24"/>
                <w:lang w:eastAsia="zh-CN" w:bidi="ar"/>
              </w:rPr>
              <w:t xml:space="preserve">2 613 222,7 т</w:t>
            </w:r>
            <w:r>
              <w:rPr>
                <w:sz w:val="24"/>
                <w:szCs w:val="24"/>
                <w:lang w:val="en-US" w:eastAsia="zh-CN" w:bidi="ar"/>
              </w:rPr>
              <w:t xml:space="preserve">ыс</w:t>
            </w:r>
            <w:r>
              <w:rPr>
                <w:sz w:val="24"/>
                <w:szCs w:val="24"/>
                <w:lang w:eastAsia="zh-CN" w:bidi="ar"/>
              </w:rPr>
              <w:t xml:space="preserve">.</w:t>
            </w:r>
            <w:r>
              <w:rPr>
                <w:sz w:val="24"/>
                <w:szCs w:val="24"/>
                <w:lang w:val="en-US" w:eastAsia="zh-CN" w:bidi="ar"/>
              </w:rPr>
              <w:t xml:space="preserve"> рублей</w:t>
            </w:r>
            <w:r>
              <w:rPr>
                <w:sz w:val="24"/>
                <w:szCs w:val="24"/>
                <w:lang w:eastAsia="zh-CN" w:bidi="ar"/>
              </w:rPr>
            </w:r>
          </w:p>
        </w:tc>
      </w:tr>
    </w:tbl>
    <w:p>
      <w:pPr>
        <w:pStyle w:val="868"/>
        <w:ind w:firstLine="660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868"/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2) </w:t>
      </w:r>
      <w:r>
        <w:rPr>
          <w:rFonts w:eastAsia="Batang"/>
          <w:bCs/>
          <w:sz w:val="24"/>
          <w:szCs w:val="24"/>
          <w:lang w:eastAsia="ko-KR"/>
        </w:rPr>
        <w:t xml:space="preserve">раздел </w:t>
      </w:r>
      <w:r>
        <w:rPr>
          <w:sz w:val="24"/>
          <w:szCs w:val="24"/>
        </w:rPr>
        <w:t xml:space="preserve">2 «</w:t>
      </w:r>
      <w:r>
        <w:rPr>
          <w:rFonts w:eastAsia="Calibri"/>
          <w:sz w:val="24"/>
          <w:szCs w:val="24"/>
        </w:rPr>
        <w:t xml:space="preserve">Показатели муниципальной программы</w:t>
      </w:r>
      <w:r>
        <w:rPr>
          <w:sz w:val="24"/>
          <w:szCs w:val="24"/>
        </w:rPr>
        <w:t xml:space="preserve">» Паспорта </w:t>
      </w:r>
      <w:r>
        <w:rPr>
          <w:rFonts w:eastAsia="Times New Roman"/>
          <w:sz w:val="24"/>
          <w:szCs w:val="24"/>
          <w:lang w:eastAsia="ru-RU"/>
        </w:rPr>
        <w:t xml:space="preserve">муниципальной программы изложить в редакции согласно приложению 1 к настоящему постановлению;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868"/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Batang"/>
          <w:bCs/>
          <w:sz w:val="24"/>
          <w:szCs w:val="24"/>
          <w:lang w:eastAsia="ko-KR"/>
        </w:rPr>
        <w:t xml:space="preserve">3) раздел </w:t>
      </w:r>
      <w:r>
        <w:rPr>
          <w:sz w:val="24"/>
          <w:szCs w:val="24"/>
        </w:rPr>
        <w:t xml:space="preserve">3 «Структура муниципальной программы» Паспорта </w:t>
      </w:r>
      <w:r>
        <w:rPr>
          <w:rFonts w:eastAsia="Times New Roman"/>
          <w:sz w:val="24"/>
          <w:szCs w:val="24"/>
          <w:lang w:eastAsia="ru-RU"/>
        </w:rPr>
        <w:t xml:space="preserve">муниципальной программы изложить в редакции согласно приложению 2 к настоящему постановлению;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868"/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4) </w:t>
      </w:r>
      <w:r>
        <w:rPr>
          <w:rFonts w:eastAsia="Batang"/>
          <w:bCs/>
          <w:sz w:val="24"/>
          <w:szCs w:val="24"/>
          <w:lang w:eastAsia="ko-KR"/>
        </w:rPr>
        <w:t xml:space="preserve">раздел 4 «</w:t>
      </w:r>
      <w:r>
        <w:rPr>
          <w:sz w:val="24"/>
          <w:szCs w:val="24"/>
        </w:rPr>
        <w:t xml:space="preserve">Финансовое обеспечение муниципальной программы</w:t>
      </w:r>
      <w:r>
        <w:rPr>
          <w:rFonts w:eastAsia="Times New Roman"/>
          <w:sz w:val="24"/>
          <w:szCs w:val="24"/>
          <w:lang w:eastAsia="ru-RU"/>
        </w:rPr>
        <w:t xml:space="preserve">» Паспорта  муниципальной программы изложить в редакции согласно приложению 3 к настоящему постановлению;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868"/>
        <w:ind w:firstLine="66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5) приложение 1 «Перечень создаваемых (реконструируемых), приобретаемых объектов» к муниципальной программе изложить в редакции согласно приложению 4 к настоящему постановлению.</w:t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865"/>
        <w:ind w:left="0" w:right="0" w:firstLine="709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  <w:t xml:space="preserve">2. Опубликовать настоящее постановление в газете «Белоярские вести. Официальный выпуск».</w:t>
      </w:r>
      <w:r>
        <w:rPr>
          <w:rFonts w:eastAsia="Batang"/>
          <w:sz w:val="24"/>
          <w:szCs w:val="24"/>
          <w:lang w:eastAsia="ko-KR"/>
        </w:rPr>
      </w:r>
    </w:p>
    <w:p>
      <w:pPr>
        <w:widowControl w:val="off"/>
        <w:spacing w:after="0"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highlight w:val="none"/>
          <w:lang w:eastAsia="ru-RU"/>
        </w:rPr>
      </w:r>
      <w:r>
        <w:rPr>
          <w:rFonts w:eastAsia="Times New Roman"/>
          <w:sz w:val="24"/>
          <w:szCs w:val="24"/>
          <w:highlight w:val="none"/>
          <w:lang w:eastAsia="ru-RU"/>
        </w:rPr>
      </w:r>
    </w:p>
    <w:p>
      <w:pPr>
        <w:widowControl w:val="off"/>
        <w:spacing w:after="0" w:line="240" w:lineRule="auto"/>
        <w:ind w:left="0" w:right="0" w:firstLine="709"/>
        <w:jc w:val="both"/>
        <w:rPr>
          <w:rFonts w:eastAsia="Times New Roman"/>
          <w:sz w:val="24"/>
          <w:szCs w:val="24"/>
          <w:highlight w:val="none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Настоящее постановление вступает в силу после его официального опубликования.</w:t>
      </w:r>
      <w:r>
        <w:rPr>
          <w:rFonts w:eastAsia="Times New Roman"/>
          <w:sz w:val="24"/>
          <w:szCs w:val="24"/>
          <w:highlight w:val="none"/>
          <w:lang w:eastAsia="ru-RU"/>
        </w:rPr>
      </w:r>
    </w:p>
    <w:p>
      <w:pPr>
        <w:widowControl w:val="off"/>
        <w:spacing w:after="0"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4. Контроль за выполнением постановления возложить на первого заместителя главы Белоярского района Ойнеца А.В.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firstLine="0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  <w:r>
        <w:rPr>
          <w:rFonts w:eastAsia="Batang"/>
          <w:sz w:val="24"/>
          <w:szCs w:val="24"/>
          <w:lang w:eastAsia="ko-KR"/>
        </w:rPr>
      </w:r>
    </w:p>
    <w:p>
      <w:pPr>
        <w:spacing w:after="0" w:line="240" w:lineRule="auto"/>
        <w:jc w:val="both"/>
        <w:rPr>
          <w:rFonts w:eastAsia="Batang"/>
          <w:sz w:val="24"/>
          <w:szCs w:val="24"/>
          <w:lang w:eastAsia="ru-RU"/>
        </w:rPr>
      </w:pPr>
      <w:r>
        <w:rPr>
          <w:rFonts w:eastAsia="Batang"/>
          <w:sz w:val="24"/>
          <w:szCs w:val="24"/>
          <w:lang w:eastAsia="ru-RU"/>
        </w:rPr>
      </w:r>
      <w:r>
        <w:rPr>
          <w:rFonts w:eastAsia="Batang"/>
          <w:sz w:val="24"/>
          <w:szCs w:val="24"/>
          <w:lang w:eastAsia="ru-RU"/>
        </w:rPr>
      </w:r>
    </w:p>
    <w:p>
      <w:pPr>
        <w:spacing w:after="0" w:line="240" w:lineRule="auto"/>
        <w:jc w:val="both"/>
        <w:rPr>
          <w:rFonts w:eastAsia="Batang"/>
          <w:sz w:val="24"/>
          <w:szCs w:val="24"/>
          <w:lang w:eastAsia="ru-RU"/>
        </w:rPr>
      </w:pPr>
      <w:r>
        <w:rPr>
          <w:rFonts w:eastAsia="Batang"/>
          <w:sz w:val="24"/>
          <w:szCs w:val="24"/>
          <w:lang w:eastAsia="ru-RU"/>
        </w:rPr>
      </w:r>
      <w:r>
        <w:rPr>
          <w:rFonts w:eastAsia="Batang"/>
          <w:sz w:val="24"/>
          <w:szCs w:val="24"/>
          <w:lang w:eastAsia="ru-RU"/>
        </w:rPr>
      </w:r>
    </w:p>
    <w:p>
      <w:pPr>
        <w:spacing w:after="0" w:line="240" w:lineRule="auto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  <w:t xml:space="preserve">Глава Белоярского района                                                                                             С.П.Маненков</w:t>
      </w:r>
      <w:r>
        <w:rPr>
          <w:rFonts w:eastAsia="Batang"/>
          <w:sz w:val="24"/>
          <w:szCs w:val="24"/>
          <w:lang w:eastAsia="ko-KR"/>
        </w:rPr>
      </w:r>
    </w:p>
    <w:p>
      <w:pPr>
        <w:spacing w:after="0" w:line="240" w:lineRule="auto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  <w:r>
        <w:rPr>
          <w:rFonts w:eastAsia="Batang"/>
          <w:sz w:val="24"/>
          <w:szCs w:val="24"/>
          <w:lang w:eastAsia="ko-KR"/>
        </w:rPr>
      </w:r>
    </w:p>
    <w:p>
      <w:pPr>
        <w:spacing w:after="0" w:line="240" w:lineRule="auto"/>
        <w:jc w:val="both"/>
        <w:rPr>
          <w:rFonts w:eastAsia="Batang"/>
          <w:sz w:val="24"/>
          <w:szCs w:val="24"/>
          <w:lang w:eastAsia="ko-KR"/>
        </w:rPr>
      </w:pPr>
      <w:r>
        <w:rPr>
          <w:rFonts w:eastAsia="Batang"/>
          <w:sz w:val="24"/>
          <w:szCs w:val="24"/>
          <w:lang w:eastAsia="ko-KR"/>
        </w:rPr>
      </w:r>
      <w:r>
        <w:rPr>
          <w:rFonts w:eastAsia="Batang"/>
          <w:sz w:val="24"/>
          <w:szCs w:val="24"/>
          <w:lang w:eastAsia="ko-KR"/>
        </w:rPr>
      </w:r>
    </w:p>
    <w:p>
      <w:pPr>
        <w:ind w:firstLine="660"/>
        <w:rPr>
          <w:rFonts w:eastAsia="Times New Roman"/>
          <w:sz w:val="24"/>
          <w:szCs w:val="24"/>
        </w:rPr>
        <w:sectPr>
          <w:headerReference w:type="default" r:id="rId8"/>
          <w:footnotePr/>
          <w:endnotePr/>
          <w:type w:val="nextPage"/>
          <w:pgSz w:w="11906" w:h="16838" w:orient="portrait"/>
          <w:pgMar w:top="992" w:right="849" w:bottom="808" w:left="1276" w:header="340" w:footer="340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4"/>
        </w:rPr>
      </w:r>
      <w:r>
        <w:rPr>
          <w:rFonts w:eastAsia="Times New Roman"/>
          <w:sz w:val="24"/>
          <w:szCs w:val="24"/>
        </w:rPr>
      </w:r>
    </w:p>
    <w:p>
      <w:pPr>
        <w:ind w:left="605"/>
        <w:jc w:val="both"/>
        <w:rPr>
          <w:rFonts w:eastAsia="Batang"/>
          <w:bCs/>
          <w:sz w:val="24"/>
          <w:szCs w:val="24"/>
          <w:lang w:eastAsia="ko-KR"/>
        </w:rPr>
      </w:pPr>
      <w:r>
        <w:rPr>
          <w:rFonts w:eastAsia="Batang"/>
          <w:bCs/>
          <w:sz w:val="24"/>
          <w:szCs w:val="24"/>
          <w:lang w:eastAsia="ko-KR"/>
        </w:rPr>
      </w:r>
      <w:r>
        <w:rPr>
          <w:rFonts w:eastAsia="Batang"/>
          <w:bCs/>
          <w:sz w:val="24"/>
          <w:szCs w:val="24"/>
          <w:lang w:eastAsia="ko-KR"/>
        </w:rPr>
      </w:r>
    </w:p>
    <w:tbl>
      <w:tblPr>
        <w:tblStyle w:val="679"/>
        <w:tblW w:w="5812" w:type="dxa"/>
        <w:tblInd w:w="918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12"/>
      </w:tblGrid>
      <w:tr>
        <w:trPr/>
        <w:tblPrEx/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1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</w:p>
        </w:tc>
      </w:tr>
      <w:tr>
        <w:trPr/>
        <w:tblPrEx/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26 декабря 2025 года № 893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вносимые в раздел 2 Паспорта муниципальной программы Белоярского района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sz w:val="24"/>
          <w:szCs w:val="24"/>
        </w:rPr>
        <w:t xml:space="preserve">Развитие жилищно-коммунального комплекса и повышение энергетической эффективности</w:t>
      </w:r>
      <w:r>
        <w:rPr>
          <w:rFonts w:eastAsia="Times New Roman"/>
          <w:sz w:val="24"/>
          <w:szCs w:val="24"/>
          <w:lang w:eastAsia="ru-RU"/>
        </w:rPr>
        <w:t xml:space="preserve">»  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Calibri"/>
          <w:sz w:val="24"/>
          <w:szCs w:val="24"/>
          <w:highlight w:val="none"/>
        </w:rPr>
      </w:pPr>
      <w:r>
        <w:rPr>
          <w:rFonts w:eastAsia="Times New Roman"/>
          <w:sz w:val="24"/>
          <w:szCs w:val="24"/>
          <w:lang w:val="en-US" w:eastAsia="ru-RU"/>
        </w:rPr>
        <w:t xml:space="preserve">«</w:t>
      </w:r>
      <w:r>
        <w:rPr>
          <w:rFonts w:eastAsia="Calibri"/>
          <w:sz w:val="24"/>
          <w:szCs w:val="24"/>
        </w:rPr>
        <w:t xml:space="preserve">2. Показатели муниципальной программы</w:t>
      </w:r>
      <w:r>
        <w:rPr>
          <w:rFonts w:eastAsia="Calibri"/>
          <w:sz w:val="24"/>
          <w:szCs w:val="24"/>
          <w:highlight w:val="none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val="en-US" w:eastAsia="ru-RU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tbl>
      <w:tblPr>
        <w:tblStyle w:val="679"/>
        <w:tblW w:w="1532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1885"/>
        <w:gridCol w:w="1134"/>
        <w:gridCol w:w="983"/>
        <w:gridCol w:w="718"/>
        <w:gridCol w:w="851"/>
        <w:gridCol w:w="708"/>
        <w:gridCol w:w="709"/>
        <w:gridCol w:w="709"/>
        <w:gridCol w:w="709"/>
        <w:gridCol w:w="708"/>
        <w:gridCol w:w="2410"/>
        <w:gridCol w:w="1418"/>
        <w:gridCol w:w="1843"/>
      </w:tblGrid>
      <w:tr>
        <w:trPr>
          <w:trHeight w:val="192"/>
          <w:tblHeader/>
        </w:trPr>
        <w:tblPrEx/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№ п/п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88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Наименование показателя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13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Единица измерения (по ОКЕИ)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701" w:type="dxa"/>
            <w:gridSpan w:val="2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Базовое значение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4394" w:type="dxa"/>
            <w:gridSpan w:val="6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Значение показателя по годам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24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Документ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41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Ответственный за достижение показателя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Связь с показателями национальных целей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60"/>
          <w:tblHeader/>
        </w:trPr>
        <w:tblPrEx/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88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13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983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значение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1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год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851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2025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2026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2027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2028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2029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2030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24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41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258"/>
        </w:trPr>
        <w:tblPrEx/>
        <w:tc>
          <w:tcPr>
            <w:tcW w:w="540" w:type="dxa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1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885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2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3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983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4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1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5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851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6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7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8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9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10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0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11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2410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12</w:t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13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14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354"/>
        </w:trPr>
        <w:tblPrEx/>
        <w:tc>
          <w:tcPr>
            <w:tcW w:w="15325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Цель 1 «Повышение надежности и качества предоставления жилищно-коммунальных услуг»</w:t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Цель 3 «Создание условий, способствующих повышению уровня и качества жизни жителей городского поселения Белоярский»</w:t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rPr>
          <w:trHeight w:val="2011"/>
        </w:trPr>
        <w:tblPrEx/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1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885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введенных в эксплуатацию объектов коммунального комплекса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</w:t>
            </w:r>
            <w:r>
              <w:rPr>
                <w:sz w:val="20"/>
                <w:szCs w:val="20"/>
              </w:rPr>
            </w:r>
          </w:p>
        </w:tc>
        <w:tc>
          <w:tcPr>
            <w:tcW w:w="98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Правительства ХМАО - Югры от 29.12.2020 № 643-п «О мерах по реализации государственной программы Ханты-Мансийского автономного округа - Югры «Строительство»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Управление капитального строительства администрации Белоярского района (далее – УКС)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84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строительство и реконструкция объектов питьевого водоснабжения и водоподготовки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258"/>
        </w:trPr>
        <w:tblPrEx/>
        <w:tc>
          <w:tcPr>
            <w:tcW w:w="540" w:type="dxa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2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885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объектов коммунальной инфраструктуры, в отношении которого произведен капитальный ремонт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</w:t>
            </w:r>
            <w:r>
              <w:rPr>
                <w:sz w:val="20"/>
                <w:szCs w:val="20"/>
              </w:rPr>
            </w:r>
          </w:p>
        </w:tc>
        <w:tc>
          <w:tcPr>
            <w:tcW w:w="983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1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Правительства ХМАО - Югры от 29.12.2020 № 643-п «О мерах по реализации государственной программы Ханты-Мансийского автономного округа - Югры «Строительство»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УКС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 -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135"/>
        </w:trPr>
        <w:tblPrEx/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3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885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 ветхих инженерных сетей газораспределения, теплоснабжения, водоснабжения и водоотведения, прошедших капитальный ремонт (замену)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км</w:t>
            </w:r>
            <w:r>
              <w:rPr>
                <w:sz w:val="20"/>
                <w:szCs w:val="20"/>
              </w:rPr>
            </w:r>
          </w:p>
        </w:tc>
        <w:tc>
          <w:tcPr>
            <w:tcW w:w="98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10,078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16,3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15,5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14,4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13,6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13,3</w:t>
            </w: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Правительства ХМАО - Югры от 29.12.2020 № 643-п «О мерах по реализации государственной программы Ханты-Мансийского автономного округа - Югры «Строительство»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УКС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84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2190"/>
        </w:trPr>
        <w:tblPrEx/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4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885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 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</w:p>
        </w:tc>
        <w:tc>
          <w:tcPr>
            <w:tcW w:w="98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5,499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15,10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14,35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13,34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12,59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12,32</w:t>
            </w: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Правительства ХМАО - Югры от 29.12.2020 № 643-п «О мерах по реализации государственной программы Ханты-Мансийского автономного округа - Югры «Строительство»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УКС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84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165"/>
        </w:trPr>
        <w:tblPrEx/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 xml:space="preserve">5</w:t>
            </w:r>
            <w:r>
              <w:rPr>
                <w:sz w:val="20"/>
                <w:szCs w:val="20"/>
                <w:lang w:val="en-US" w:eastAsia="ru-RU"/>
              </w:rPr>
            </w:r>
          </w:p>
        </w:tc>
        <w:tc>
          <w:tcPr>
            <w:tcW w:w="1885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Количество инициативных проектов, реализованных с привлечением средств бюджета Ханты-Мансийского автономного округа – Югры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</w:t>
            </w:r>
            <w:r>
              <w:rPr>
                <w:sz w:val="20"/>
                <w:szCs w:val="20"/>
              </w:rPr>
            </w:r>
          </w:p>
        </w:tc>
        <w:tc>
          <w:tcPr>
            <w:tcW w:w="98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7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</w:t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Правительства ХМАО - Югры от 10.11.2023г. №546-п «О государственной программе Ханты-Мансийского автономного округа - Югры «Развитие гражданского общества»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7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УКС</w:t>
            </w:r>
            <w:r>
              <w:rPr>
                <w:sz w:val="18"/>
                <w:szCs w:val="18"/>
              </w:rPr>
            </w:r>
          </w:p>
        </w:tc>
        <w:tc>
          <w:tcPr>
            <w:tcW w:w="184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7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увеличение к 2030 году доли молодых людей, верящих в возможности самореализации в России, не менее чем до 85 процентов</w:t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120"/>
        </w:trPr>
        <w:tblPrEx/>
        <w:tc>
          <w:tcPr>
            <w:tcW w:w="15325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Цель 2 «Улучшение технического состояния многоквартирных домов, расположенных на территории Белоярского района, повышение энергетической эффективности на территории Белоярского района»</w:t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rPr>
          <w:trHeight w:val="3328"/>
        </w:trPr>
        <w:tblPrEx/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6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885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энергоэффективных источников света в системах уличного освещения г.Белоярский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</w:p>
        </w:tc>
        <w:tc>
          <w:tcPr>
            <w:tcW w:w="98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</w:t>
            </w:r>
            <w:r>
              <w:rPr>
                <w:sz w:val="20"/>
                <w:szCs w:val="20"/>
              </w:rPr>
            </w:r>
          </w:p>
        </w:tc>
        <w:tc>
          <w:tcPr>
            <w:tcW w:w="7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</w:t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</w:t>
            </w: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</w:t>
            </w:r>
            <w:r>
              <w:rPr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</w:tcPr>
          <w:p>
            <w:pPr>
              <w:pStyle w:val="9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Минэкономразвития Р</w:t>
            </w:r>
            <w:r>
              <w:rPr>
                <w:sz w:val="20"/>
                <w:szCs w:val="20"/>
              </w:rPr>
              <w:t xml:space="preserve">оссии от 21.11.2022 № 636 «Об утверждении методических рекомендаций по оценке эффективности реализации государственной политики и нормативно-правового регулирования в области энергосбережения и повышения энергетической эффективности на региональном уровне»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УЖКХ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84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 -</w:t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1722"/>
        </w:trPr>
        <w:tblPrEx/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7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885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Количество многоквартирных домов, отремонтированных в соответствии с региональной программой капитального ремонта общего имущества в многоквартирных домах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ед.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98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5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2023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5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5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5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5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5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5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410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Постановление Правительства ХМАО - Югры от 25.12.2013 № 568-п «О Программе капитального ремонта общего имущества в многоквартирных домах, расположенных на территории Ханты-Мансийского автономного округа – Югры»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УЖКХ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 -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135"/>
        </w:trPr>
        <w:tblPrEx/>
        <w:tc>
          <w:tcPr>
            <w:tcW w:w="15325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Цель  4  «Обеспечение стабильной благополучной эпизоотической обстановки на территории Белоярского района»</w:t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rPr>
          <w:trHeight w:val="135"/>
        </w:trPr>
        <w:tblPrEx/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8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885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Количество реализованных мероприятий при осуществлении деятельности по обращению с животными без владельцев 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ед.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98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336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2023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 xml:space="preserve">250</w:t>
            </w:r>
            <w:r>
              <w:rPr>
                <w:sz w:val="20"/>
                <w:szCs w:val="20"/>
                <w:lang w:val="en-US" w:eastAsia="ru-RU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104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99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94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89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0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79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410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pStyle w:val="97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Закон Ханты-Мансийского автономного округа - Югры от 10.12.2019 №89-оз «О наделении органов местного самоуправ</w:t>
            </w:r>
            <w:r>
              <w:rPr>
                <w:sz w:val="20"/>
                <w:szCs w:val="20"/>
                <w:lang w:eastAsia="ru-RU"/>
              </w:rPr>
              <w:t xml:space="preserve">ления муниципальных образований Ханты-Мансийского автономного округа - Югры отдельным государственным полномочием Ханты-Мансийского автономного округа - Югры по организации мероприятий при осуществлении деятельности по обращению с животными без владельцев»</w:t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18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УЖКХ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noWrap w:val="false"/>
            <w:textDirection w:val="lrTb"/>
            <w:vAlign w:val="center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 -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r>
          </w:p>
        </w:tc>
      </w:tr>
    </w:tbl>
    <w:p>
      <w:pPr>
        <w:spacing w:after="0" w:line="240" w:lineRule="auto"/>
        <w:ind w:right="-29"/>
        <w:jc w:val="right"/>
        <w:rPr>
          <w:rFonts w:eastAsia="Times New Roman"/>
          <w:sz w:val="24"/>
          <w:szCs w:val="24"/>
          <w:lang w:val="en-US" w:eastAsia="ru-RU"/>
        </w:rPr>
      </w:pPr>
      <w:r>
        <w:rPr>
          <w:rFonts w:eastAsia="Times New Roman"/>
          <w:sz w:val="24"/>
          <w:szCs w:val="24"/>
          <w:lang w:val="en-US" w:eastAsia="ru-RU"/>
        </w:rPr>
        <w:t xml:space="preserve">»;</w:t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spacing w:after="0" w:line="240" w:lineRule="auto"/>
        <w:ind w:right="-29"/>
        <w:jc w:val="right"/>
        <w:rPr>
          <w:rFonts w:eastAsia="Times New Roman"/>
          <w:sz w:val="24"/>
          <w:szCs w:val="24"/>
          <w:lang w:val="en-US" w:eastAsia="ru-RU"/>
        </w:rPr>
        <w:sectPr>
          <w:footnotePr/>
          <w:endnotePr/>
          <w:type w:val="nextPage"/>
          <w:pgSz w:w="16838" w:h="11906" w:orient="landscape"/>
          <w:pgMar w:top="567" w:right="709" w:bottom="1133" w:left="1134" w:header="340" w:footer="340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4"/>
          <w:lang w:val="en-US" w:eastAsia="ru-RU"/>
        </w:rPr>
      </w:r>
      <w:r>
        <w:rPr>
          <w:rFonts w:eastAsia="Times New Roman"/>
          <w:sz w:val="24"/>
          <w:szCs w:val="24"/>
          <w:lang w:val="en-US" w:eastAsia="ru-RU"/>
        </w:rPr>
      </w:r>
    </w:p>
    <w:tbl>
      <w:tblPr>
        <w:tblStyle w:val="679"/>
        <w:tblW w:w="5812" w:type="dxa"/>
        <w:tblInd w:w="918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12"/>
      </w:tblGrid>
      <w:tr>
        <w:trPr/>
        <w:tblPrEx/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 2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  <w:tr>
        <w:trPr/>
        <w:tblPrEx/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26 декабря 2025 года № 893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вносимые в раздел 3 Паспорта муниципальной программы Белоярского района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sz w:val="24"/>
          <w:szCs w:val="24"/>
        </w:rPr>
        <w:t xml:space="preserve">Развитие жилищно-коммунального комплекса и повышение энергетической эффективности</w:t>
      </w:r>
      <w:r>
        <w:rPr>
          <w:rFonts w:eastAsia="Times New Roman"/>
          <w:sz w:val="24"/>
          <w:szCs w:val="24"/>
          <w:lang w:eastAsia="ru-RU"/>
        </w:rPr>
        <w:t xml:space="preserve">»  </w:t>
      </w:r>
      <w:r>
        <w:rPr>
          <w:sz w:val="24"/>
          <w:szCs w:val="24"/>
        </w:rPr>
      </w:r>
    </w:p>
    <w:p>
      <w:pPr>
        <w:spacing w:after="0" w:line="240" w:lineRule="auto"/>
        <w:ind w:right="-29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8"/>
        <w:jc w:val="center"/>
        <w:rPr>
          <w:rFonts w:eastAsia="Times New Roman"/>
          <w:sz w:val="24"/>
          <w:szCs w:val="24"/>
          <w:highlight w:val="none"/>
          <w:lang w:eastAsia="ru-RU"/>
        </w:rPr>
      </w:pPr>
      <w:r>
        <w:rPr>
          <w:sz w:val="24"/>
          <w:szCs w:val="24"/>
        </w:rPr>
        <w:t xml:space="preserve">«</w:t>
      </w:r>
      <w:r>
        <w:rPr>
          <w:rFonts w:eastAsia="Times New Roman"/>
          <w:sz w:val="24"/>
          <w:szCs w:val="24"/>
          <w:lang w:eastAsia="ru-RU"/>
        </w:rPr>
        <w:t xml:space="preserve">3. Структура муниципальной программы</w:t>
      </w:r>
      <w:r>
        <w:rPr>
          <w:rFonts w:eastAsia="Times New Roman"/>
          <w:sz w:val="24"/>
          <w:szCs w:val="24"/>
          <w:highlight w:val="none"/>
          <w:lang w:eastAsia="ru-RU"/>
        </w:rPr>
      </w:r>
    </w:p>
    <w:p>
      <w:pPr>
        <w:pStyle w:val="868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highlight w:val="none"/>
          <w:lang w:eastAsia="ru-RU"/>
        </w:rPr>
      </w:r>
      <w:r>
        <w:rPr>
          <w:rFonts w:eastAsia="Times New Roman"/>
          <w:sz w:val="24"/>
          <w:szCs w:val="24"/>
          <w:highlight w:val="none"/>
          <w:lang w:eastAsia="ru-RU"/>
        </w:rPr>
      </w:r>
    </w:p>
    <w:tbl>
      <w:tblPr>
        <w:tblStyle w:val="679"/>
        <w:tblW w:w="15261" w:type="dxa"/>
        <w:tblInd w:w="9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4"/>
        <w:gridCol w:w="5500"/>
        <w:gridCol w:w="6051"/>
        <w:gridCol w:w="24"/>
        <w:gridCol w:w="2236"/>
        <w:gridCol w:w="726"/>
      </w:tblGrid>
      <w:tr>
        <w:trPr>
          <w:trHeight w:val="720"/>
          <w:tblHeader/>
        </w:trPr>
        <w:tblPrEx/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  <w:jc w:val="center"/>
            </w:pPr>
            <w:r>
              <w:rPr>
                <w:lang w:eastAsia="ru-RU"/>
              </w:rPr>
              <w:t xml:space="preserve">№ п/п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  <w:jc w:val="center"/>
            </w:pPr>
            <w:r>
              <w:rPr>
                <w:lang w:eastAsia="ru-RU"/>
              </w:rPr>
              <w:t xml:space="preserve">Задачи структурного элемента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68"/>
              <w:jc w:val="center"/>
            </w:pPr>
            <w:r>
              <w:rPr>
                <w:lang w:eastAsia="ru-RU"/>
              </w:rPr>
              <w:t xml:space="preserve">Краткое описание ожидаемых эффектов от реализации задачи структурного элемента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  <w:jc w:val="center"/>
            </w:pPr>
            <w:r>
              <w:rPr>
                <w:lang w:eastAsia="ru-RU"/>
              </w:rPr>
              <w:t xml:space="preserve">Связь с показателями</w:t>
            </w:r>
          </w:p>
        </w:tc>
      </w:tr>
      <w:tr>
        <w:trPr>
          <w:trHeight w:val="300"/>
          <w:tblHeader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  <w:jc w:val="center"/>
            </w:pPr>
            <w:r>
              <w:rPr>
                <w:lang w:eastAsia="ru-RU"/>
              </w:rPr>
              <w:t xml:space="preserve">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  <w:jc w:val="center"/>
            </w:pPr>
            <w:r>
              <w:rPr>
                <w:lang w:eastAsia="ru-RU"/>
              </w:rPr>
              <w:t xml:space="preserve">2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  <w:jc w:val="center"/>
            </w:pPr>
            <w:r>
              <w:rPr>
                <w:lang w:eastAsia="ru-RU"/>
              </w:rPr>
              <w:t xml:space="preserve">3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  <w:jc w:val="center"/>
            </w:pPr>
            <w:r>
              <w:rPr>
                <w:lang w:eastAsia="ru-RU"/>
              </w:rPr>
              <w:t xml:space="preserve">4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1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Направление (подпрограмма)  «Создание объектов капитального строительства и проведение капитального ремонта объектов»</w:t>
            </w:r>
          </w:p>
        </w:tc>
      </w:tr>
      <w:tr>
        <w:trPr>
          <w:trHeight w:val="315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1.1</w:t>
            </w:r>
          </w:p>
        </w:tc>
        <w:tc>
          <w:tcPr>
            <w:tcW w:w="11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Региональный проект «Модернизация коммунальной инфраструктуры»</w:t>
            </w:r>
          </w:p>
        </w:tc>
        <w:tc>
          <w:tcPr>
            <w:tcW w:w="2260" w:type="dxa"/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726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УКС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156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1.1.1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Создание условий для повышения эффективности, качества и надежности предоставления коммунальных услуг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  <w:rPr>
                <w:lang w:eastAsia="ru-RU"/>
              </w:rPr>
            </w:pPr>
            <w:r>
              <w:rPr>
                <w:lang w:eastAsia="ru-RU"/>
              </w:rPr>
              <w:t xml:space="preserve">Реализация мероприятий</w:t>
            </w:r>
            <w:r>
              <w:rPr>
                <w:rFonts w:hint="default"/>
                <w:lang w:val="en-US" w:eastAsia="ru-RU"/>
              </w:rPr>
              <w:t xml:space="preserve"> по</w:t>
            </w:r>
            <w:bookmarkStart w:id="0" w:name="_GoBack"/>
            <w:bookmarkEnd w:id="0"/>
            <w:r>
              <w:rPr>
                <w:lang w:eastAsia="ru-RU"/>
              </w:rPr>
              <w:t xml:space="preserve"> строительству (реконструкции)  объекта «Обеспечение водоснабжением г.Белоярский» в 2025 году</w:t>
            </w:r>
            <w:r>
              <w:rPr>
                <w:lang w:eastAsia="ru-RU"/>
              </w:rPr>
            </w:r>
          </w:p>
          <w:p>
            <w:pPr>
              <w:pStyle w:val="868"/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pStyle w:val="868"/>
            </w:pPr>
            <w:r>
              <w:rPr>
                <w:lang w:eastAsia="ru-RU"/>
              </w:rPr>
              <w:t xml:space="preserve">Реализация проектов по модернизации систем ком</w:t>
            </w:r>
            <w:r>
              <w:rPr>
                <w:lang w:eastAsia="ru-RU"/>
              </w:rPr>
              <w:t xml:space="preserve">мунальной инфраструктуры Белоярского района  с привлечением средств федерального бюджета Российской Федерации в рамках  региональной программы Ханты-Мансийского автономного округа - Югры «Модернизация систем коммунальной инфраструктуры на 2023 - 2027 годы»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  <w:rPr>
                <w:lang w:eastAsia="ru-RU"/>
              </w:rPr>
            </w:pPr>
            <w:r>
              <w:rPr>
                <w:lang w:eastAsia="ru-RU"/>
              </w:rPr>
              <w:t xml:space="preserve">Количество введенных в эксплуатацию объектов коммунального комплекса</w:t>
            </w:r>
            <w:r>
              <w:rPr>
                <w:lang w:eastAsia="ru-RU"/>
              </w:rPr>
            </w:r>
          </w:p>
          <w:p>
            <w:pPr>
              <w:pStyle w:val="868"/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pStyle w:val="868"/>
            </w:pPr>
          </w:p>
        </w:tc>
      </w:tr>
      <w:tr>
        <w:trPr>
          <w:trHeight w:val="345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1.2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Региональный проект «Создание (реконструкция) коммунальных объектов»</w:t>
            </w:r>
          </w:p>
        </w:tc>
      </w:tr>
      <w:tr>
        <w:trPr>
          <w:trHeight w:val="239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УКС 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66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1.2.1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Создание коммунальных объектов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Реализация мероприятий по проектированию и строительству объекта «Канализационные очистные сооружения в с.Полноват Белоярского района»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Количество введенных в эксплуатацию объектов коммунального комплекса</w:t>
            </w:r>
          </w:p>
        </w:tc>
      </w:tr>
      <w:tr>
        <w:trPr>
          <w:trHeight w:val="407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1.3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«Строительство (реконструкция) и капитальный ремонт объектов коммунальной инфраструктуры»</w:t>
            </w:r>
          </w:p>
        </w:tc>
      </w:tr>
      <w:tr>
        <w:trPr>
          <w:trHeight w:val="331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УКС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1590"/>
        </w:trPr>
        <w:tblPrEx/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1.3.1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Повышение эффективности, качества и надежности предоставления коммунальных услуг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Реализация мероприятий по строительству и капитальному ремонту объектов коммунальной инфраструктуры.</w:t>
            </w:r>
          </w:p>
          <w:p>
            <w:pPr>
              <w:pStyle w:val="868"/>
            </w:pPr>
          </w:p>
          <w:p>
            <w:pPr>
              <w:pStyle w:val="868"/>
            </w:pPr>
          </w:p>
          <w:p>
            <w:pPr>
              <w:pStyle w:val="868"/>
            </w:pP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Количество объектов коммунальной инфраструктуры, в отношении которого произведен капитальный ремонт </w:t>
            </w:r>
          </w:p>
        </w:tc>
      </w:tr>
      <w:tr>
        <w:trPr>
          <w:trHeight w:val="330"/>
        </w:trPr>
        <w:tblPrEx/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2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Направление (подпрограмма) «Создание условий для обеспечения качественными коммунальными услугами»</w:t>
            </w:r>
          </w:p>
        </w:tc>
      </w:tr>
      <w:tr>
        <w:trPr>
          <w:trHeight w:val="432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2.1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«Реализация мероприятий по капитальному ремонту (с заменой) систем газораспределения, теплоснабжения, водоснабжения и водоотведения, в  том числе с применением композитных материалов в г.Белоярский»</w:t>
            </w:r>
          </w:p>
        </w:tc>
      </w:tr>
      <w:tr>
        <w:trPr>
          <w:trHeight w:val="355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УКС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1819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2.1.1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Создание условий для повышения эффективности, качества и надежности предоставления коммунальных услуг</w:t>
            </w:r>
            <w:r>
              <w:rPr>
                <w:lang w:eastAsia="ru-RU"/>
              </w:rPr>
              <w:br w:type="page" w:clear="all"/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Замена ветхих инженерных сетей посредством капитального ремонта (с заменой) систем газораспределения, теплоснабжения, водоснабжения и водоотведения, в  том числе с применением композитных материалов, в г.Белоярский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  <w:rPr>
                <w:lang w:eastAsia="ru-RU"/>
              </w:rPr>
            </w:pPr>
            <w:r>
              <w:rPr>
                <w:lang w:eastAsia="ru-RU"/>
              </w:rPr>
              <w:t xml:space="preserve">Протяженность  ветхих инженерных сетей газораспределения, теплоснабжения, водоснабжения и водоотведения, прошедших капитальный ремонт (замену)</w:t>
            </w:r>
            <w:r>
              <w:rPr>
                <w:lang w:eastAsia="ru-RU"/>
              </w:rPr>
            </w:r>
          </w:p>
          <w:p>
            <w:pPr>
              <w:pStyle w:val="868"/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pStyle w:val="868"/>
            </w:pPr>
            <w:r>
              <w:rPr>
                <w:highlight w:val="none"/>
                <w:lang w:eastAsia="ru-RU"/>
              </w:rPr>
              <w:t xml:space="preserve">Доля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водоотведения.</w:t>
            </w:r>
          </w:p>
        </w:tc>
      </w:tr>
      <w:tr>
        <w:trPr>
          <w:trHeight w:val="122"/>
        </w:trPr>
        <w:tblPrEx/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2.2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«Содействие в обеспечении равных прав потребителей на получение энергетических ресурсов»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УЖКХ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136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2.2.1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Обеспечение равных прав потребителей на получение энергетических ресурсов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Предоставлен</w:t>
            </w:r>
            <w:r>
              <w:rPr>
                <w:lang w:eastAsia="ru-RU"/>
              </w:rPr>
              <w:t xml:space="preserve">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сферы;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Пре</w:t>
            </w:r>
            <w:r>
              <w:rPr>
                <w:lang w:eastAsia="ru-RU"/>
              </w:rPr>
              <w:t xml:space="preserve">доставление 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по социально ориентированным тарифам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-</w:t>
            </w:r>
          </w:p>
        </w:tc>
      </w:tr>
      <w:tr>
        <w:trPr>
          <w:trHeight w:val="1683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2.2.2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Возмещение недополученных доходов ресурсоснабжающим организациям, осуществляющим основной регулируемый вид деятельности в сфере тепло-, водоснабжения и водоотведения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Предоставление субсидии из бюджета Белоярского района  бюджетам поселе</w:t>
            </w:r>
            <w:r>
              <w:rPr>
                <w:lang w:eastAsia="ru-RU"/>
              </w:rPr>
              <w:t xml:space="preserve">ний  на 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-</w:t>
            </w:r>
          </w:p>
        </w:tc>
      </w:tr>
      <w:tr>
        <w:trPr>
          <w:trHeight w:val="39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2.3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«Компенсация транспортных расходов, предусмотренная в соответствии с государственной поддержкой северного завоза продукции (товаров)»</w:t>
            </w:r>
          </w:p>
        </w:tc>
      </w:tr>
      <w:tr>
        <w:trPr>
          <w:trHeight w:val="63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отдел муниципального заказа администрации Белоярского района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162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2.3.1</w:t>
            </w:r>
          </w:p>
        </w:tc>
        <w:tc>
          <w:tcPr>
            <w:tcW w:w="5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Создание условий для стабильного функционирования организаций социальной сферы, жилищно-коммунального хозяйства и энергетики и  обеспечения жизнедеятельности населения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Предоставление субсидии  в целях компенсации транспо</w:t>
            </w:r>
            <w:r>
              <w:rPr>
                <w:lang w:eastAsia="ru-RU"/>
              </w:rPr>
              <w:t xml:space="preserve">ртных расходов в рамках северного завоза продукции (товаров) на территорию Белоярского района, необходимой для обеспечения жизнедеятельности населения и стабильного функционирования организаций социальной сферы, жилищно-коммунального хозяйства и энергетики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-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3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Направление (подпрограмма) «Энергосбережение и повышение энергетической эффективности»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3.1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 «Обеспечение мероприятий по энергосбережению и повышению энергетической эффективности»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УЖКХ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68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3.1.1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Развитие энергосбережения и повышение энергоэффективности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Реализация муниципальных программ в</w:t>
            </w:r>
            <w:r>
              <w:rPr>
                <w:lang w:eastAsia="ru-RU"/>
              </w:rPr>
              <w:t xml:space="preserve"> области энергосбережения и повышения энергетической эффективности, в том числе реализация мероприятий по замене ламп уличного освещения в рамках плана мероприятий по модернизации и переводу на светодиодное освещение систем уличного освещения г.Белоярский.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Информационное обеспечение мероприятий по энергосбережению и повышению энергетической эффективности.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Координация мероприятий по энергосбережению и повышению энергетической эффективности и контроль за их проведением муниципальными учреждениями, муниципальным унитарным предприятием.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Доля энергоэффективных источников света в системах уличного освещения г.Белоярский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4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Направление (подпрограмма) «Проведение капитального ремонта многоквартирных домов»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4.1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   «Содействие проведению капитального ремонта многоквартирных домов»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УЖКХ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1875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4.1.1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Содействие проведению капитального ремонта многоквартирных домов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Содействие в реализации  на территории Белоярского района региональной программы капитального ремонта общего имущества в многоквартирных домах.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Предоставление субсидии Югорскому фонду капитального ремонта многоквартирных домов на долевое финансовое обеспечение проведения капитального ремонта общего имущества в многоквартирных домах, расположенных на территории Белоярского района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Количество многоквартирных домов, отремонтированных в соответствии с региональной программой капитального ремонта общего имущества в многоквартирных домах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5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Направление (подпрограмма) «Обеспечение благоустройства территории городского поселения Белоярский»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5.1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Региональный проект «Развитие экосистемы поддержки гражданских инициатив»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УКС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val="en-US" w:eastAsia="ru-RU"/>
              </w:rPr>
              <w:t xml:space="preserve">5.</w:t>
            </w:r>
            <w:r>
              <w:rPr>
                <w:lang w:eastAsia="ru-RU"/>
              </w:rPr>
              <w:t xml:space="preserve">1</w:t>
            </w:r>
            <w:r>
              <w:rPr>
                <w:lang w:val="en-US" w:eastAsia="ru-RU"/>
              </w:rPr>
              <w:t xml:space="preserve">.1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Обеспечение реализации инициативных проектов</w:t>
            </w:r>
          </w:p>
        </w:tc>
        <w:tc>
          <w:tcPr>
            <w:tcW w:w="6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Реализация инициативных проектов граждан  в сфере благоустройства г.п.Белоярский, получивших поддержку по итогам регионального конкурса инициативных проектов</w:t>
            </w:r>
          </w:p>
        </w:tc>
        <w:tc>
          <w:tcPr>
            <w:tcW w:w="2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68"/>
            </w:pPr>
            <w:r>
              <w:t xml:space="preserve">Количество инициативных проектов, реализованных с привлечением средств бюджета Ханты-Мансийского автономного округа – Югры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5.2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    «Обеспечение благоустройства территории городского поселения Белоярский»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Ответственные за реализацию:  УЖКХ, УКС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207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5.2.1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Повышение уровня благоустройства  и содержание объектов внешнего благоустройства муниципальной собственности на территории городского поселения Белоярский и повышение уровня благоустройства 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Организация благоустройства и озеленения территории г.п. Белоярский.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Создание объектов благоустройства на территории г.п.Белоярский, в том числе создание площадки для складирования снега г.Белоярский.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Техническая эксплуатация, содержание, ремонт и организация энергоснабжения сети уличного освещения на территории г.п. Белоярский.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t xml:space="preserve">-</w:t>
            </w:r>
          </w:p>
          <w:p>
            <w:pPr>
              <w:pStyle w:val="868"/>
            </w:pPr>
          </w:p>
          <w:p>
            <w:pPr>
              <w:pStyle w:val="868"/>
            </w:pPr>
          </w:p>
          <w:p>
            <w:pPr>
              <w:pStyle w:val="868"/>
            </w:pP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5.3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«Содержание и благоустройство межпоселенческих мест захоронений на территории Белоярского района»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УЖКХ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126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5.3.1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Содержание и благоустройство межпоселенческих мест захоронений 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Предоставление субсидий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уровней;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t xml:space="preserve">строительство, реконструкция (расширение) мест погребения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-</w:t>
            </w:r>
          </w:p>
        </w:tc>
      </w:tr>
      <w:tr>
        <w:trPr>
          <w:trHeight w:val="285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6.1</w:t>
            </w:r>
          </w:p>
        </w:tc>
        <w:tc>
          <w:tcPr>
            <w:tcW w:w="14537" w:type="dxa"/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Комплекс процессных мероприятий «Организация мероприятий при осуществлении деятельности по обращению с животными без владельцев»</w:t>
            </w:r>
          </w:p>
        </w:tc>
      </w:tr>
      <w:tr>
        <w:trPr>
          <w:trHeight w:val="300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Ответственный за реализацию:  УЖКХ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868"/>
            </w:pPr>
            <w:r>
              <w:rPr>
                <w:lang w:eastAsia="ru-RU"/>
              </w:rPr>
              <w:t xml:space="preserve">Срок реализации: 2025-2030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868"/>
            </w:pPr>
            <w:r>
              <w:rPr>
                <w:lang w:eastAsia="ru-RU"/>
              </w:rPr>
              <w:t xml:space="preserve"> </w:t>
            </w:r>
          </w:p>
        </w:tc>
      </w:tr>
      <w:tr>
        <w:trPr>
          <w:trHeight w:val="1215"/>
        </w:trPr>
        <w:tblPrEx/>
        <w:tc>
          <w:tcPr>
            <w:tcW w:w="724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6.1.1</w:t>
            </w:r>
          </w:p>
        </w:tc>
        <w:tc>
          <w:tcPr>
            <w:tcW w:w="550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 Обеспечение безопасности населения при осуществлении деятельности по обращению с животными без владельцев</w:t>
            </w:r>
          </w:p>
        </w:tc>
        <w:tc>
          <w:tcPr>
            <w:tcW w:w="6051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на территории Белоярского района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68"/>
            </w:pPr>
            <w:r>
              <w:rPr>
                <w:lang w:eastAsia="ru-RU"/>
              </w:rPr>
              <w:t xml:space="preserve">Количество реализованных мероприятий при осуществлении деятельности по обращению с животными без владельцев</w:t>
            </w:r>
          </w:p>
        </w:tc>
      </w:tr>
    </w:tbl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val="en-US" w:eastAsia="ru-RU"/>
        </w:rPr>
        <w:t xml:space="preserve">»</w:t>
      </w:r>
      <w:r>
        <w:rPr>
          <w:rFonts w:eastAsia="Times New Roman"/>
          <w:sz w:val="24"/>
          <w:szCs w:val="24"/>
          <w:lang w:eastAsia="ru-RU"/>
        </w:rPr>
        <w:t xml:space="preserve">;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jc w:val="right"/>
        <w:rPr>
          <w:rFonts w:eastAsia="Calibri"/>
        </w:rPr>
        <w:sectPr>
          <w:footnotePr/>
          <w:endnotePr/>
          <w:type w:val="nextPage"/>
          <w:pgSz w:w="16838" w:h="11906" w:orient="landscape"/>
          <w:pgMar w:top="567" w:right="709" w:bottom="1133" w:left="1134" w:header="340" w:footer="340" w:gutter="0"/>
          <w:cols w:num="1" w:sep="0" w:space="720" w:equalWidth="1"/>
          <w:docGrid w:linePitch="360"/>
          <w:titlePg/>
        </w:sectPr>
      </w:pPr>
      <w:r>
        <w:rPr>
          <w:rFonts w:eastAsia="Calibri"/>
        </w:rPr>
      </w:r>
      <w:r>
        <w:rPr>
          <w:rFonts w:eastAsia="Calibri"/>
        </w:rPr>
      </w:r>
    </w:p>
    <w:tbl>
      <w:tblPr>
        <w:tblStyle w:val="679"/>
        <w:tblW w:w="5812" w:type="dxa"/>
        <w:tblInd w:w="918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12"/>
      </w:tblGrid>
      <w:tr>
        <w:trPr/>
        <w:tblPrEx/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3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</w:p>
        </w:tc>
      </w:tr>
      <w:tr>
        <w:trPr/>
        <w:tblPrEx/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26 декабря 2025 года № 893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вносимые в раздел 4 Паспорта муниципальной программы Белоярского района</w:t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right="-29"/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sz w:val="24"/>
          <w:szCs w:val="24"/>
        </w:rPr>
        <w:t xml:space="preserve">Развитие жилищно-коммунального комплекса и повышение энергетической эффективности</w:t>
      </w:r>
      <w:r>
        <w:rPr>
          <w:rFonts w:eastAsia="Times New Roman"/>
          <w:sz w:val="24"/>
          <w:szCs w:val="24"/>
          <w:lang w:eastAsia="ru-RU"/>
        </w:rPr>
        <w:t xml:space="preserve">»  </w:t>
      </w:r>
      <w:r>
        <w:rPr>
          <w:sz w:val="24"/>
          <w:szCs w:val="24"/>
        </w:rPr>
      </w:r>
    </w:p>
    <w:p>
      <w:pPr>
        <w:spacing w:after="0" w:line="240" w:lineRule="auto"/>
        <w:ind w:right="-29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«4. Финансовое обеспечение муниципальной программы</w:t>
      </w:r>
      <w:r>
        <w:rPr>
          <w:sz w:val="24"/>
          <w:szCs w:val="24"/>
        </w:rPr>
      </w:r>
    </w:p>
    <w:p>
      <w:pPr>
        <w:pStyle w:val="868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679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1"/>
        <w:gridCol w:w="7222"/>
        <w:gridCol w:w="1016"/>
        <w:gridCol w:w="1016"/>
        <w:gridCol w:w="1016"/>
        <w:gridCol w:w="1016"/>
        <w:gridCol w:w="1016"/>
        <w:gridCol w:w="1016"/>
        <w:gridCol w:w="1116"/>
      </w:tblGrid>
      <w:tr>
        <w:trPr>
          <w:trHeight w:val="278"/>
          <w:tblHeader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№</w:t>
            </w:r>
            <w:r>
              <w:rPr>
                <w:sz w:val="20"/>
                <w:szCs w:val="20"/>
                <w:lang w:val="en-US" w:eastAsia="zh-CN"/>
              </w:rPr>
              <w:t xml:space="preserve"> п/п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vMerge w:val="restart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gridSpan w:val="7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Объем финансового обеспечения по годам, тыс. рублей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  <w:tblHeader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2025 год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2026 год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2027 год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2028 год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2029 год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2030 год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Всего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6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Муниципальная программа «Развитие жилищно-коммунального комплекса и повышение энергетической эффективности» 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746 929,5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391 546,1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402 007,7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357 579,8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357 579,8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357 579,8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2613 222,7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федеральный бюджет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7 303,4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7 303,4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611 228,8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305 849,5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304 551,3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277 978,7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277 978,7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277 978,7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2055 565,7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135 700,7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85 696,6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90 153,0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79 601,1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79 601,1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79 601,1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550 353,6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Объем налоговых расходов Белоярского района (справочно)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72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Региональный проект «Модернизация коммунальной инфраструктуры» 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253 495,0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33 023,2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286 518,2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федеральный бюджет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7 303,4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7 303,4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240 334,5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22 417,4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262 751,9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13 160,5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3 302,4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16 462,9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1.1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 «Обеспечение водоснабжением г.Белоярский»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253 495,0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253 495,0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240 334,5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240 334,5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13 160,5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13 160,5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1.2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«Реализация проектов по модернизации систем коммунальной инфраструктуры»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33 023,2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33 023,2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федеральный бюджет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7 303,4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7 303,4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22 417,4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22 417,4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 w:val="false"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3 302,4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3 302,4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Региональный проект «Создание (реконструкция) коммунальных объектов» 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1 897,0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24 152,0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5 308,7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31 357,7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23 910,4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23 910,4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1 897,0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241,6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5 308,7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7 447,3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2.1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«Канализационные очистные сооружения в с.Полноват Белоярского района»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1 897,0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24 152,0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5 308,7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31 357,7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23 910,4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23 910,4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1 897,0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241,6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5 308,7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7 447,3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Региональный проект «Развитие экосистемы поддержки гражданских инициатив» 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1 499,2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1 499,2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1 049,4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1 049,4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449,8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449,8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8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3.1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«Реализация инициативного проекта граждан «Благоустройство городского пляжа в г. Белоярский на озере Нешинелор»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1 499,2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1 499,2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1 049,4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1 049,4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449,8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449,8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«Строительство (реконструкция) и капитальный ремонт объектов коммунальной инфраструктуры» 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3 558,5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3 558,5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3 558,5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8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 «Реализация мероприятий по капитальному ремонту (с заменой) систем газораспределения, теплоснабжения, водоснабжения и водоотведения, в  том числе с применением композитных материалов в г.Белоярский» 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242 859,0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232 548,3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225 300,6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225 300,6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225 300,6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225 300,6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1376 609,7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213 745,7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208 494,3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202 770,5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202 770,5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202 770,5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202 770,5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1233 322,0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29 113,3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24 054,0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22 530,1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22 530,1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22 530,1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22 530,1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143 287,7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32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5.1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«Капитальный ремонт (с заменой) систем газораспределения, теплоснабжения, водоснабжения и водоотведения, в  том числе с применением композитных материалов в г.Белоярский»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242 859,0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232 548,3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225 300,6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225 300,6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225 300,6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225 300,6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1376 609,7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213 745,7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208 494,3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202 770,5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202 770,5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202 770,5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202 770,5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1233 322,0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29 113,3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24 054,0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22 530,1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22 530,1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22 530,1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22 530,1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143 287,7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804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«Содействие в обеспечении равных прав потребителей на получение энергетических ресурсов»</w:t>
            </w:r>
            <w:r>
              <w:rPr>
                <w:sz w:val="20"/>
                <w:szCs w:val="20"/>
                <w:lang w:eastAsia="zh-CN"/>
              </w:rPr>
              <w:br/>
            </w:r>
            <w:r>
              <w:rPr>
                <w:sz w:val="20"/>
                <w:szCs w:val="20"/>
                <w:lang w:eastAsia="zh-CN"/>
              </w:rPr>
              <w:t xml:space="preserve">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75 164,0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78 251,5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85 442,3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81 287,1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81 287,1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81 287,1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482 719,1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69 864,7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72 840,9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78 759,5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74 604,3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74 604,3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74 604,3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445 278,0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5 299,3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5 410,6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6 682,8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6 682,8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6 682,8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6 682,8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37 441,1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972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6.1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мероприятие «Предоставлен</w:t>
            </w:r>
            <w:r>
              <w:rPr>
                <w:sz w:val="20"/>
                <w:szCs w:val="20"/>
                <w:lang w:eastAsia="zh-CN"/>
              </w:rPr>
              <w:t xml:space="preserve">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13 248,3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13 526,4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16 706,9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16 706,9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16 706,9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16 706,9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93 602,3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7 949,0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8 115,8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10 024,1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10 024,1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10 024,1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10 024,1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56 161,2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5 299,3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5 410,6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6 682,8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6 682,8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6 682,8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6 682,8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37 441,1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2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6.2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мероприятие «Пред</w:t>
            </w:r>
            <w:r>
              <w:rPr>
                <w:sz w:val="20"/>
                <w:szCs w:val="20"/>
                <w:lang w:eastAsia="zh-CN"/>
              </w:rPr>
              <w:t xml:space="preserve">оставление 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по социально ориентированным тарифам»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47 255,0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44 987,8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47 237,2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47 237,2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47 237,2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47 237,2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281 191,6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47 255,0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44 987,8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47 237,2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47 237,2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47 237,2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47 237,2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281 191,6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972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6.3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мероприятие «Предоставление субсидии из бюджета Белоярского района  бюджетам посел</w:t>
            </w:r>
            <w:r>
              <w:rPr>
                <w:sz w:val="20"/>
                <w:szCs w:val="20"/>
                <w:lang w:eastAsia="zh-CN"/>
              </w:rPr>
              <w:t xml:space="preserve">ений  на возмещение ресурсоснабжающим организациям, осуществляющим регулируемый вид деятельности в сфере тепло-,водоснабжения и водоотведения, недополученных доходов в связи с применением понижающих коэффициетов к нормативам потребления коммунальных услуг»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14 660,7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19 737,3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21 498,2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17 343,0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17 343,0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17 343,0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107 925,2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14 660,7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19 737,3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21 498,2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17 343,0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17 343,0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17 343,0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107 925,2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92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«Компенсация транспортных расходов, предусмотренная в соответствии с государственной поддержкой северного завоза продукции (товаров)»</w:t>
            </w:r>
            <w:r>
              <w:rPr>
                <w:sz w:val="20"/>
                <w:szCs w:val="20"/>
                <w:lang w:eastAsia="zh-CN"/>
              </w:rPr>
              <w:br/>
            </w:r>
            <w:r>
              <w:rPr>
                <w:sz w:val="20"/>
                <w:szCs w:val="20"/>
                <w:lang w:eastAsia="zh-CN"/>
              </w:rPr>
              <w:t xml:space="preserve">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79 648,9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79 649,4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79 648,8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79 648,8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0,6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672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7.1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мероприятие «Предоставление субсидии  в целях компенсации транспортных расходов в рамках северного завоза продукции (товаров) на территорию </w:t>
            </w:r>
            <w:r>
              <w:rPr>
                <w:sz w:val="20"/>
                <w:szCs w:val="20"/>
                <w:lang w:val="en-US" w:eastAsia="zh-CN"/>
              </w:rPr>
              <w:t xml:space="preserve">Белоярского района»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79 648,9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79 649,4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79 648,8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79 648,8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0,6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84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 «Обеспечение мероприятий по энергосбережению и повышению энергетической эффективности» </w:t>
            </w:r>
            <w:r>
              <w:rPr>
                <w:sz w:val="20"/>
                <w:szCs w:val="20"/>
                <w:lang w:eastAsia="zh-CN"/>
              </w:rPr>
              <w:br/>
            </w:r>
            <w:r>
              <w:rPr>
                <w:sz w:val="20"/>
                <w:szCs w:val="20"/>
                <w:lang w:eastAsia="zh-CN"/>
              </w:rPr>
              <w:t xml:space="preserve">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2 932,5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2 932,5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2 932,5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2 932,5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552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«Содействие проведению капитального ремонта многоквартирных домов»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0,5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0,5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2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«Обеспечение благоустройства территории городского поселения Белоярский»</w:t>
            </w:r>
            <w:r>
              <w:rPr>
                <w:sz w:val="20"/>
                <w:szCs w:val="20"/>
                <w:lang w:eastAsia="zh-CN"/>
              </w:rPr>
              <w:br/>
            </w:r>
            <w:r>
              <w:rPr>
                <w:sz w:val="20"/>
                <w:szCs w:val="20"/>
                <w:lang w:eastAsia="zh-CN"/>
              </w:rPr>
              <w:t xml:space="preserve">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71 571,4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50 036,3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49 674,9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47 734,1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47 734,1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47 734,1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314 484,9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71 571,4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50 036,3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49 674,9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47 734,1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47 734,1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47 734,1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314 484,9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10.1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«Организация благоустройства и озеленения территории городского поселения Белоярский»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36 880,7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191 881,7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36 880,7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31 000,2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191 881,7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10.2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«Создание объектов благоустройства на территории городского поселения Белоярский»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17 169,8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2 302,2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1 940,8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21 412,8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17 169,8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2 302,2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1 940,8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21 412,8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8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10.3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«Техническая эксплуатация, содержание, ремонт и организация энергоснабжения сети уличного освещения на территории г.п. Белоярский»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17 520,9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101 190,4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17 520,9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16 733,9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101 190,4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8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«Содержание и благоустройство межпоселенческих мест захоронений на территории Белоярского района» 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5 953,9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19 223,4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5 953,9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19 223,4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75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11.1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результат «Предоставление субсидий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уровней»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5 953,9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19 223,4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5 953,9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2 653,9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19 223,4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48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restart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12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Комплекс процессных мероприятий «Организация мероприятий при осуществлении деятельности по обращению с животными без владельцев» (всего), в том числе: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11 650,1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14 669,6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27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ХМАО-Югры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6 585,7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603,9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9 605,2</w:t>
            </w:r>
            <w:r>
              <w:rPr>
                <w:sz w:val="20"/>
                <w:szCs w:val="20"/>
              </w:rPr>
            </w:r>
          </w:p>
        </w:tc>
      </w:tr>
      <w:tr>
        <w:trPr>
          <w:trHeight w:val="300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shd w:val="clear" w:color="auto" w:fill="auto"/>
            <w:noWrap/>
            <w:textDirection w:val="lrTb"/>
            <w:vAlign w:val="center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 w:val="false"/>
            <w:textDirection w:val="lrTb"/>
            <w:vAlign w:val="bottom"/>
          </w:tcPr>
          <w:p>
            <w:pPr>
              <w:pStyle w:val="86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бюджет Белоярского района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5 064,4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0,0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auto"/>
            <w:shd w:val="clear" w:color="auto" w:fill="auto"/>
            <w:noWrap/>
            <w:textDirection w:val="lrTb"/>
            <w:vAlign w:val="bottom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5 064,4</w:t>
            </w:r>
            <w:r>
              <w:rPr>
                <w:sz w:val="20"/>
                <w:szCs w:val="20"/>
              </w:rPr>
            </w:r>
          </w:p>
        </w:tc>
      </w:tr>
    </w:tbl>
    <w:p>
      <w:pPr>
        <w:spacing w:after="0" w:line="240" w:lineRule="auto"/>
        <w:ind w:right="-2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</w:p>
    <w:p>
      <w:pPr>
        <w:spacing w:after="0" w:line="240" w:lineRule="auto"/>
        <w:ind w:right="-29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ind w:right="-29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-249" w:leader="none"/>
        </w:tabs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567" w:right="709" w:bottom="1133" w:left="1134" w:header="340" w:footer="340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Style w:val="679"/>
        <w:tblW w:w="5812" w:type="dxa"/>
        <w:tblInd w:w="918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12"/>
      </w:tblGrid>
      <w:tr>
        <w:trPr>
          <w:trHeight w:val="225"/>
        </w:trPr>
        <w:tblPrEx/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ПРИЛОЖЕНИЕ 4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</w:r>
          </w:p>
        </w:tc>
      </w:tr>
      <w:tr>
        <w:trPr/>
        <w:tblPrEx/>
        <w:tc>
          <w:tcPr>
            <w:tcW w:w="581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 постановлению администрации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Белоярского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-249" w:leader="none"/>
              </w:tabs>
              <w:spacing w:after="0" w:line="240" w:lineRule="auto"/>
              <w:ind w:left="-108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 26 декабря 2025 года № 893</w:t>
            </w:r>
            <w:r>
              <w:rPr>
                <w:rFonts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«Приложение 1 </w:t>
      </w:r>
      <w:r>
        <w:rPr>
          <w:rFonts w:eastAsia="Times New Roman"/>
          <w:sz w:val="24"/>
          <w:szCs w:val="24"/>
          <w:lang w:eastAsia="ru-RU"/>
        </w:rPr>
        <w:t xml:space="preserve">к муниципальной программе </w:t>
      </w:r>
      <w:r>
        <w:rPr>
          <w:rFonts w:eastAsia="Calibri"/>
          <w:sz w:val="24"/>
          <w:szCs w:val="24"/>
        </w:rPr>
      </w:r>
    </w:p>
    <w:p>
      <w:pPr>
        <w:widowControl w:val="off"/>
        <w:spacing w:after="0" w:line="240" w:lineRule="auto"/>
        <w:ind w:firstLine="720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spacing w:after="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Перечень создаваемых (реконструируемых), приобретаемых объектов</w:t>
      </w:r>
      <w:r>
        <w:rPr>
          <w:rFonts w:eastAsia="Calibri"/>
          <w:b/>
        </w:rPr>
      </w:r>
    </w:p>
    <w:p>
      <w:pPr>
        <w:pStyle w:val="865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</w:p>
    <w:tbl>
      <w:tblPr>
        <w:tblStyle w:val="679"/>
        <w:tblW w:w="0" w:type="auto"/>
        <w:tblInd w:w="0" w:type="dxa"/>
        <w:tblLayout w:type="autofit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69"/>
        <w:gridCol w:w="2345"/>
        <w:gridCol w:w="1276"/>
        <w:gridCol w:w="1559"/>
        <w:gridCol w:w="1418"/>
        <w:gridCol w:w="1842"/>
        <w:gridCol w:w="2977"/>
        <w:gridCol w:w="3291"/>
      </w:tblGrid>
      <w:tr>
        <w:trPr>
          <w:trHeight w:val="381"/>
          <w:tblHeader/>
        </w:trPr>
        <w:tblPrEx/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N</w:t>
            </w:r>
            <w:r>
              <w:rPr>
                <w:sz w:val="20"/>
              </w:rPr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объекта</w:t>
            </w:r>
            <w:r>
              <w:rPr>
                <w:sz w:val="20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Мощность</w:t>
            </w:r>
            <w:r>
              <w:rPr>
                <w:sz w:val="20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 строительства, проектирования</w:t>
            </w:r>
            <w:r>
              <w:rPr>
                <w:sz w:val="20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Механизм реализации</w:t>
            </w:r>
            <w:r>
              <w:rPr>
                <w:sz w:val="20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Капитальные вложения</w:t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Источник финансирования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Планируемый объем инвестиций (на период реализации муниципальной программы) (тыс.руб.)</w:t>
            </w:r>
            <w:r>
              <w:rPr>
                <w:sz w:val="20"/>
              </w:rPr>
            </w:r>
          </w:p>
        </w:tc>
      </w:tr>
      <w:tr>
        <w:trPr>
          <w:trHeight w:val="57"/>
          <w:tblHeader/>
        </w:trPr>
        <w:tblPrEx/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</w:t>
            </w:r>
            <w:r>
              <w:rPr>
                <w:sz w:val="20"/>
              </w:rPr>
            </w:r>
          </w:p>
        </w:tc>
        <w:tc>
          <w:tcPr>
            <w:tcW w:w="2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</w:t>
            </w:r>
            <w:r>
              <w:rPr>
                <w:sz w:val="20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</w:t>
            </w:r>
            <w:r>
              <w:rPr>
                <w:sz w:val="20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</w:t>
            </w:r>
            <w:r>
              <w:rPr>
                <w:sz w:val="20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</w:t>
            </w:r>
            <w:r>
              <w:rPr>
                <w:sz w:val="20"/>
              </w:rPr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</w:t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8</w:t>
            </w:r>
            <w:r>
              <w:rPr>
                <w:sz w:val="20"/>
              </w:rPr>
            </w:r>
          </w:p>
        </w:tc>
      </w:tr>
      <w:tr>
        <w:trPr>
          <w:trHeight w:val="20"/>
        </w:trPr>
        <w:tblPrEx/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</w:t>
            </w:r>
            <w:r>
              <w:rPr>
                <w:sz w:val="20"/>
              </w:rPr>
            </w:r>
          </w:p>
        </w:tc>
        <w:tc>
          <w:tcPr>
            <w:tcW w:w="23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Обеспечение водоснабжением</w:t>
            </w:r>
            <w:r>
              <w:rPr>
                <w:sz w:val="20"/>
              </w:rPr>
            </w:r>
          </w:p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  г. Белоярский</w:t>
            </w:r>
            <w:r>
              <w:rPr>
                <w:sz w:val="20"/>
              </w:rPr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5000 куб.м/сут</w:t>
            </w:r>
            <w:r>
              <w:rPr>
                <w:sz w:val="20"/>
              </w:rPr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2016 - 2018 </w:t>
            </w:r>
            <w:r>
              <w:rPr>
                <w:sz w:val="20"/>
              </w:rPr>
            </w:r>
          </w:p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2023-2024 (ПИР),</w:t>
            </w:r>
            <w:r>
              <w:rPr>
                <w:sz w:val="20"/>
              </w:rPr>
            </w:r>
          </w:p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2023 - 2025 (СМР)</w:t>
            </w:r>
            <w:r>
              <w:rPr>
                <w:sz w:val="20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прямые инвестиции</w:t>
            </w:r>
            <w:r>
              <w:rPr>
                <w:sz w:val="20"/>
              </w:rPr>
            </w:r>
          </w:p>
        </w:tc>
        <w:tc>
          <w:tcPr>
            <w:tcW w:w="18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бюджетные инвестиции в форме капитальных вложений в объекты муниципальной собственности</w:t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всего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252 983,7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федеральный бюджет 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автономного округа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240 334,5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Белоярского района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12 649,2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внебюджетные источники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</w:t>
            </w:r>
            <w:r>
              <w:rPr>
                <w:sz w:val="20"/>
              </w:rPr>
            </w:r>
          </w:p>
        </w:tc>
        <w:tc>
          <w:tcPr>
            <w:tcW w:w="23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Канализационные очистные сооружения в с. Полноват Белоярского района</w:t>
            </w:r>
            <w:r>
              <w:rPr>
                <w:sz w:val="20"/>
              </w:rPr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60 куб.м/сутки</w:t>
            </w:r>
            <w:r>
              <w:rPr>
                <w:sz w:val="20"/>
              </w:rPr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2025-2026 (ПИР)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прямые инвестиции</w:t>
            </w:r>
            <w:r>
              <w:rPr>
                <w:sz w:val="20"/>
              </w:rPr>
            </w:r>
          </w:p>
        </w:tc>
        <w:tc>
          <w:tcPr>
            <w:tcW w:w="18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бюджетные инвестиции в форме капитальных вложений в объекты муниципальной собственности</w:t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всего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24 152,0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федеральный бюджет 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автономного округа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23 910,4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Белоярского района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241,6</w:t>
            </w:r>
            <w:r>
              <w:rPr>
                <w:sz w:val="20"/>
              </w:rPr>
            </w:r>
          </w:p>
        </w:tc>
      </w:tr>
      <w:tr>
        <w:trPr>
          <w:trHeight w:val="57"/>
        </w:trPr>
        <w:tblPrEx/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  <w:vAlign w:val="center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внебюджетные источники</w:t>
            </w:r>
            <w:r>
              <w:rPr>
                <w:sz w:val="20"/>
              </w:rPr>
            </w:r>
          </w:p>
        </w:tc>
        <w:tc>
          <w:tcPr>
            <w:tcW w:w="3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top w:w="57" w:type="dxa"/>
              <w:bottom w:w="57" w:type="dxa"/>
            </w:tcMar>
            <w:textDirection w:val="lrTb"/>
          </w:tcPr>
          <w:p>
            <w:pPr>
              <w:pStyle w:val="8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-</w:t>
            </w:r>
            <w:r>
              <w:rPr>
                <w:sz w:val="20"/>
              </w:rPr>
            </w:r>
          </w:p>
        </w:tc>
      </w:tr>
    </w:tbl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».</w:t>
      </w:r>
      <w:r>
        <w:rPr>
          <w:sz w:val="24"/>
          <w:szCs w:val="24"/>
        </w:rPr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6838" w:h="11906" w:orient="landscape"/>
      <w:pgMar w:top="567" w:right="709" w:bottom="1133" w:left="1134" w:header="340" w:footer="34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tang">
    <w:panose1 w:val="02010609060101010101"/>
  </w:font>
  <w:font w:name="Calibri">
    <w:panose1 w:val="020F0502020204030204"/>
  </w:font>
  <w:font w:name="Tahoma">
    <w:panose1 w:val="020B0604030504040204"/>
  </w:font>
  <w:font w:name="Segoe UI">
    <w:panose1 w:val="020B0502040204020203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76" w:lineRule="auto"/>
      </w:pPr>
      <w:r>
        <w:separator/>
      </w:r>
    </w:p>
  </w:footnote>
  <w:footnote w:type="continuationSeparator" w:id="0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1"/>
      <w:jc w:val="center"/>
    </w:pPr>
  </w:p>
  <w:p>
    <w:pPr>
      <w:pStyle w:val="8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8"/>
    <w:link w:val="669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8"/>
    <w:link w:val="670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8"/>
    <w:link w:val="698"/>
    <w:uiPriority w:val="10"/>
    <w:rPr>
      <w:sz w:val="48"/>
      <w:szCs w:val="48"/>
    </w:rPr>
  </w:style>
  <w:style w:type="character" w:styleId="37">
    <w:name w:val="Subtitle Char"/>
    <w:basedOn w:val="678"/>
    <w:link w:val="700"/>
    <w:uiPriority w:val="11"/>
    <w:rPr>
      <w:sz w:val="24"/>
      <w:szCs w:val="24"/>
    </w:rPr>
  </w:style>
  <w:style w:type="character" w:styleId="39">
    <w:name w:val="Quote Char"/>
    <w:link w:val="715"/>
    <w:uiPriority w:val="29"/>
    <w:rPr>
      <w:i/>
    </w:rPr>
  </w:style>
  <w:style w:type="character" w:styleId="41">
    <w:name w:val="Intense Quote Char"/>
    <w:link w:val="717"/>
    <w:uiPriority w:val="30"/>
    <w:rPr>
      <w:i/>
    </w:rPr>
  </w:style>
  <w:style w:type="character" w:styleId="43">
    <w:name w:val="Header Char"/>
    <w:basedOn w:val="678"/>
    <w:link w:val="688"/>
    <w:uiPriority w:val="99"/>
  </w:style>
  <w:style w:type="character" w:styleId="45">
    <w:name w:val="Footer Char"/>
    <w:basedOn w:val="678"/>
    <w:link w:val="699"/>
    <w:uiPriority w:val="99"/>
  </w:style>
  <w:style w:type="character" w:styleId="47">
    <w:name w:val="Caption Char"/>
    <w:basedOn w:val="678"/>
    <w:link w:val="685"/>
    <w:uiPriority w:val="35"/>
    <w:rPr>
      <w:b/>
      <w:bCs/>
      <w:color w:val="4f81bd" w:themeColor="accent1"/>
      <w:sz w:val="18"/>
      <w:szCs w:val="18"/>
    </w:rPr>
  </w:style>
  <w:style w:type="table" w:styleId="50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90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6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176">
    <w:name w:val="Footnote Text Char"/>
    <w:link w:val="686"/>
    <w:uiPriority w:val="99"/>
    <w:rPr>
      <w:sz w:val="18"/>
    </w:rPr>
  </w:style>
  <w:style w:type="character" w:styleId="179">
    <w:name w:val="Endnote Text Char"/>
    <w:link w:val="684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668" w:default="1">
    <w:name w:val="Normal"/>
    <w:uiPriority w:val="0"/>
    <w:qFormat/>
    <w:pPr>
      <w:spacing w:after="200" w:line="276" w:lineRule="auto"/>
    </w:pPr>
    <w:rPr>
      <w:rFonts w:ascii="Times New Roman" w:hAnsi="Times New Roman" w:eastAsia="SimSun" w:cs="Times New Roman"/>
      <w:sz w:val="22"/>
      <w:szCs w:val="22"/>
      <w:lang w:val="ru-RU" w:eastAsia="en-US" w:bidi="ar-SA"/>
    </w:rPr>
  </w:style>
  <w:style w:type="paragraph" w:styleId="669">
    <w:name w:val="Heading 1"/>
    <w:basedOn w:val="668"/>
    <w:next w:val="668"/>
    <w:link w:val="702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0">
    <w:name w:val="Heading 2"/>
    <w:basedOn w:val="668"/>
    <w:next w:val="668"/>
    <w:link w:val="703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671">
    <w:name w:val="Heading 3"/>
    <w:basedOn w:val="668"/>
    <w:next w:val="668"/>
    <w:link w:val="704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2">
    <w:name w:val="Heading 4"/>
    <w:basedOn w:val="668"/>
    <w:next w:val="668"/>
    <w:link w:val="705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8"/>
    <w:next w:val="668"/>
    <w:link w:val="706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8"/>
    <w:next w:val="668"/>
    <w:link w:val="707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675">
    <w:name w:val="Heading 7"/>
    <w:basedOn w:val="668"/>
    <w:next w:val="668"/>
    <w:link w:val="708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6">
    <w:name w:val="Heading 8"/>
    <w:basedOn w:val="668"/>
    <w:next w:val="668"/>
    <w:link w:val="709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677">
    <w:name w:val="Heading 9"/>
    <w:basedOn w:val="668"/>
    <w:next w:val="668"/>
    <w:link w:val="71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  <w:qFormat/>
  </w:style>
  <w:style w:type="table" w:styleId="679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680">
    <w:name w:val="footnote reference"/>
    <w:uiPriority w:val="99"/>
    <w:unhideWhenUsed/>
    <w:qFormat/>
    <w:rPr>
      <w:vertAlign w:val="superscript"/>
    </w:rPr>
  </w:style>
  <w:style w:type="character" w:styleId="681">
    <w:name w:val="endnote reference"/>
    <w:uiPriority w:val="99"/>
    <w:semiHidden/>
    <w:unhideWhenUsed/>
    <w:qFormat/>
    <w:rPr>
      <w:vertAlign w:val="superscript"/>
    </w:rPr>
  </w:style>
  <w:style w:type="character" w:styleId="682">
    <w:name w:val="Hyperlink"/>
    <w:uiPriority w:val="99"/>
    <w:unhideWhenUsed/>
    <w:qFormat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83">
    <w:name w:val="Balloon Text"/>
    <w:basedOn w:val="668"/>
    <w:link w:val="97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84">
    <w:name w:val="endnote text"/>
    <w:basedOn w:val="668"/>
    <w:link w:val="848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685">
    <w:name w:val="Caption"/>
    <w:basedOn w:val="668"/>
    <w:next w:val="668"/>
    <w:link w:val="721"/>
    <w:uiPriority w:val="35"/>
    <w:semiHidden/>
    <w:unhideWhenUsed/>
    <w:qFormat/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686">
    <w:name w:val="footnote text"/>
    <w:basedOn w:val="668"/>
    <w:link w:val="847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687">
    <w:name w:val="toc 8"/>
    <w:basedOn w:val="668"/>
    <w:next w:val="668"/>
    <w:uiPriority w:val="39"/>
    <w:unhideWhenUsed/>
    <w:qFormat/>
    <w:pPr>
      <w:spacing w:after="57"/>
      <w:ind w:left="1984"/>
    </w:pPr>
  </w:style>
  <w:style w:type="paragraph" w:styleId="688">
    <w:name w:val="Header"/>
    <w:basedOn w:val="668"/>
    <w:link w:val="719"/>
    <w:uiPriority w:val="99"/>
    <w:unhideWhenUsed/>
    <w:qFormat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689">
    <w:name w:val="toc 9"/>
    <w:basedOn w:val="668"/>
    <w:next w:val="668"/>
    <w:uiPriority w:val="39"/>
    <w:unhideWhenUsed/>
    <w:qFormat/>
    <w:pPr>
      <w:spacing w:after="57"/>
      <w:ind w:left="2268"/>
    </w:pPr>
  </w:style>
  <w:style w:type="paragraph" w:styleId="690">
    <w:name w:val="toc 7"/>
    <w:basedOn w:val="668"/>
    <w:next w:val="668"/>
    <w:uiPriority w:val="39"/>
    <w:unhideWhenUsed/>
    <w:qFormat/>
    <w:pPr>
      <w:spacing w:after="57"/>
      <w:ind w:left="1701"/>
    </w:pPr>
  </w:style>
  <w:style w:type="paragraph" w:styleId="691">
    <w:name w:val="toc 1"/>
    <w:basedOn w:val="668"/>
    <w:next w:val="668"/>
    <w:uiPriority w:val="39"/>
    <w:unhideWhenUsed/>
    <w:qFormat/>
    <w:pPr>
      <w:spacing w:after="57"/>
    </w:pPr>
  </w:style>
  <w:style w:type="paragraph" w:styleId="692">
    <w:name w:val="toc 6"/>
    <w:basedOn w:val="668"/>
    <w:next w:val="668"/>
    <w:uiPriority w:val="39"/>
    <w:unhideWhenUsed/>
    <w:qFormat/>
    <w:pPr>
      <w:spacing w:after="57"/>
      <w:ind w:left="1417"/>
    </w:pPr>
  </w:style>
  <w:style w:type="paragraph" w:styleId="693">
    <w:name w:val="table of figures"/>
    <w:basedOn w:val="668"/>
    <w:next w:val="668"/>
    <w:uiPriority w:val="99"/>
    <w:unhideWhenUsed/>
    <w:qFormat/>
    <w:pPr>
      <w:spacing w:after="0"/>
    </w:pPr>
  </w:style>
  <w:style w:type="paragraph" w:styleId="694">
    <w:name w:val="toc 3"/>
    <w:basedOn w:val="668"/>
    <w:next w:val="668"/>
    <w:uiPriority w:val="39"/>
    <w:unhideWhenUsed/>
    <w:qFormat/>
    <w:pPr>
      <w:spacing w:after="57"/>
      <w:ind w:left="567"/>
    </w:pPr>
  </w:style>
  <w:style w:type="paragraph" w:styleId="695">
    <w:name w:val="toc 2"/>
    <w:basedOn w:val="668"/>
    <w:next w:val="668"/>
    <w:uiPriority w:val="39"/>
    <w:unhideWhenUsed/>
    <w:qFormat/>
    <w:pPr>
      <w:spacing w:after="57"/>
      <w:ind w:left="283"/>
    </w:pPr>
  </w:style>
  <w:style w:type="paragraph" w:styleId="696">
    <w:name w:val="toc 4"/>
    <w:basedOn w:val="668"/>
    <w:next w:val="668"/>
    <w:uiPriority w:val="39"/>
    <w:unhideWhenUsed/>
    <w:qFormat/>
    <w:pPr>
      <w:spacing w:after="57"/>
      <w:ind w:left="850"/>
    </w:pPr>
  </w:style>
  <w:style w:type="paragraph" w:styleId="697">
    <w:name w:val="toc 5"/>
    <w:basedOn w:val="668"/>
    <w:next w:val="668"/>
    <w:uiPriority w:val="39"/>
    <w:unhideWhenUsed/>
    <w:qFormat/>
    <w:pPr>
      <w:spacing w:after="57"/>
      <w:ind w:left="1134"/>
    </w:pPr>
  </w:style>
  <w:style w:type="paragraph" w:styleId="698">
    <w:name w:val="Title"/>
    <w:basedOn w:val="668"/>
    <w:next w:val="668"/>
    <w:link w:val="713"/>
    <w:uiPriority w:val="10"/>
    <w:qFormat/>
    <w:pPr>
      <w:spacing w:before="300"/>
      <w:contextualSpacing/>
    </w:pPr>
    <w:rPr>
      <w:sz w:val="48"/>
      <w:szCs w:val="48"/>
    </w:rPr>
  </w:style>
  <w:style w:type="paragraph" w:styleId="699">
    <w:name w:val="Footer"/>
    <w:basedOn w:val="668"/>
    <w:link w:val="720"/>
    <w:uiPriority w:val="99"/>
    <w:unhideWhenUsed/>
    <w:qFormat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700">
    <w:name w:val="Subtitle"/>
    <w:basedOn w:val="668"/>
    <w:next w:val="668"/>
    <w:link w:val="714"/>
    <w:uiPriority w:val="11"/>
    <w:qFormat/>
    <w:pPr>
      <w:spacing w:before="200"/>
    </w:pPr>
    <w:rPr>
      <w:sz w:val="24"/>
      <w:szCs w:val="24"/>
    </w:rPr>
  </w:style>
  <w:style w:type="table" w:styleId="701">
    <w:name w:val="Table Grid"/>
    <w:uiPriority w:val="59"/>
    <w:qFormat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02" w:customStyle="1">
    <w:name w:val="Заголовок 1 Знак"/>
    <w:link w:val="669"/>
    <w:uiPriority w:val="9"/>
    <w:qFormat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link w:val="670"/>
    <w:uiPriority w:val="9"/>
    <w:qFormat/>
    <w:rPr>
      <w:rFonts w:ascii="Arial" w:hAnsi="Arial" w:eastAsia="Arial" w:cs="Arial"/>
      <w:sz w:val="34"/>
    </w:rPr>
  </w:style>
  <w:style w:type="character" w:styleId="704" w:customStyle="1">
    <w:name w:val="Заголовок 3 Знак"/>
    <w:link w:val="671"/>
    <w:uiPriority w:val="9"/>
    <w:qFormat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link w:val="67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link w:val="67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link w:val="67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link w:val="67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link w:val="67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link w:val="677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668"/>
    <w:uiPriority w:val="34"/>
    <w:qFormat/>
    <w:pPr>
      <w:ind w:left="720"/>
      <w:contextualSpacing/>
    </w:pPr>
  </w:style>
  <w:style w:type="paragraph" w:styleId="712">
    <w:name w:val="No Spacing"/>
    <w:uiPriority w:val="1"/>
    <w:qFormat/>
    <w:rPr>
      <w:rFonts w:ascii="Times New Roman" w:hAnsi="Times New Roman" w:eastAsia="SimSun" w:cs="Times New Roman"/>
      <w:lang w:val="ru-RU" w:eastAsia="zh-CN" w:bidi="ar-SA"/>
    </w:rPr>
  </w:style>
  <w:style w:type="character" w:styleId="713" w:customStyle="1">
    <w:name w:val="Заголовок Знак"/>
    <w:link w:val="698"/>
    <w:uiPriority w:val="10"/>
    <w:qFormat/>
    <w:rPr>
      <w:sz w:val="48"/>
      <w:szCs w:val="48"/>
    </w:rPr>
  </w:style>
  <w:style w:type="character" w:styleId="714" w:customStyle="1">
    <w:name w:val="Подзаголовок Знак"/>
    <w:link w:val="700"/>
    <w:uiPriority w:val="11"/>
    <w:qFormat/>
    <w:rPr>
      <w:sz w:val="24"/>
      <w:szCs w:val="24"/>
    </w:rPr>
  </w:style>
  <w:style w:type="paragraph" w:styleId="715">
    <w:name w:val="Quote"/>
    <w:basedOn w:val="668"/>
    <w:next w:val="668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qFormat/>
    <w:rPr>
      <w:i/>
    </w:rPr>
  </w:style>
  <w:style w:type="paragraph" w:styleId="717">
    <w:name w:val="Intense Quote"/>
    <w:basedOn w:val="668"/>
    <w:next w:val="668"/>
    <w:link w:val="71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18" w:customStyle="1">
    <w:name w:val="Выделенная цитата Знак"/>
    <w:link w:val="717"/>
    <w:uiPriority w:val="30"/>
    <w:qFormat/>
    <w:rPr>
      <w:i/>
    </w:rPr>
  </w:style>
  <w:style w:type="character" w:styleId="719" w:customStyle="1">
    <w:name w:val="Верхний колонтитул Знак1"/>
    <w:link w:val="688"/>
    <w:uiPriority w:val="99"/>
    <w:qFormat/>
  </w:style>
  <w:style w:type="character" w:styleId="720" w:customStyle="1">
    <w:name w:val="Нижний колонтитул Знак1"/>
    <w:link w:val="699"/>
    <w:uiPriority w:val="99"/>
    <w:qFormat/>
  </w:style>
  <w:style w:type="character" w:styleId="721" w:customStyle="1">
    <w:name w:val="Название объекта Знак"/>
    <w:link w:val="685"/>
    <w:uiPriority w:val="35"/>
    <w:qFormat/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table" w:styleId="722" w:customStyle="1">
    <w:name w:val="Table Grid Light"/>
    <w:uiPriority w:val="59"/>
    <w:qFormat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Таблица простая 11"/>
    <w:uiPriority w:val="59"/>
    <w:qFormat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uiPriority w:val="59"/>
    <w:qFormat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8" w:customStyle="1">
    <w:name w:val="Таблица-сетка 1 светлая1"/>
    <w:uiPriority w:val="99"/>
    <w:qFormat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1"/>
    <w:uiPriority w:val="99"/>
    <w:qFormat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2"/>
    <w:uiPriority w:val="99"/>
    <w:qFormat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3"/>
    <w:uiPriority w:val="99"/>
    <w:qFormat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4"/>
    <w:uiPriority w:val="99"/>
    <w:qFormat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5"/>
    <w:uiPriority w:val="99"/>
    <w:qFormat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6"/>
    <w:uiPriority w:val="99"/>
    <w:qFormat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Таблица-сетка 21"/>
    <w:uiPriority w:val="99"/>
    <w:qFormat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96969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6" w:customStyle="1">
    <w:name w:val="Grid Table 2 - Accent 1"/>
    <w:uiPriority w:val="99"/>
    <w:qFormat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B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7" w:customStyle="1">
    <w:name w:val="Grid Table 2 - Accent 2"/>
    <w:uiPriority w:val="99"/>
    <w:qFormat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7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8" w:customStyle="1">
    <w:name w:val="Grid Table 2 - Accent 3"/>
    <w:uiPriority w:val="99"/>
    <w:qFormat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9" w:customStyle="1">
    <w:name w:val="Grid Table 2 - Accent 4"/>
    <w:uiPriority w:val="99"/>
    <w:qFormat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0" w:customStyle="1">
    <w:name w:val="Grid Table 2 - Accent 5"/>
    <w:uiPriority w:val="99"/>
    <w:qFormat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1" w:customStyle="1">
    <w:name w:val="Grid Table 2 - Accent 6"/>
    <w:uiPriority w:val="99"/>
    <w:qFormat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2" w:customStyle="1">
    <w:name w:val="Таблица-сетка 31"/>
    <w:uiPriority w:val="99"/>
    <w:qFormat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3" w:customStyle="1">
    <w:name w:val="Grid Table 3 - Accent 1"/>
    <w:uiPriority w:val="99"/>
    <w:qFormat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4" w:customStyle="1">
    <w:name w:val="Grid Table 3 - Accent 2"/>
    <w:uiPriority w:val="99"/>
    <w:qFormat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5" w:customStyle="1">
    <w:name w:val="Grid Table 3 - Accent 3"/>
    <w:uiPriority w:val="99"/>
    <w:qFormat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6" w:customStyle="1">
    <w:name w:val="Grid Table 3 - Accent 4"/>
    <w:uiPriority w:val="99"/>
    <w:qFormat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7" w:customStyle="1">
    <w:name w:val="Grid Table 3 - Accent 5"/>
    <w:uiPriority w:val="99"/>
    <w:qFormat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8" w:customStyle="1">
    <w:name w:val="Grid Table 3 - Accent 6"/>
    <w:uiPriority w:val="99"/>
    <w:qFormat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9" w:customStyle="1">
    <w:name w:val="Таблица-сетка 41"/>
    <w:uiPriority w:val="59"/>
    <w:qFormat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 w:customStyle="1">
    <w:name w:val="Grid Table 4 - Accent 1"/>
    <w:uiPriority w:val="59"/>
    <w:qFormat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</w:style>
  <w:style w:type="table" w:styleId="751" w:customStyle="1">
    <w:name w:val="Grid Table 4 - Accent 2"/>
    <w:uiPriority w:val="59"/>
    <w:qFormat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</w:style>
  <w:style w:type="table" w:styleId="752" w:customStyle="1">
    <w:name w:val="Grid Table 4 - Accent 3"/>
    <w:uiPriority w:val="59"/>
    <w:qFormat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</w:style>
  <w:style w:type="table" w:styleId="753" w:customStyle="1">
    <w:name w:val="Grid Table 4 - Accent 4"/>
    <w:uiPriority w:val="59"/>
    <w:qFormat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4" w:customStyle="1">
    <w:name w:val="Grid Table 4 - Accent 5"/>
    <w:uiPriority w:val="59"/>
    <w:qFormat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5" w:customStyle="1">
    <w:name w:val="Grid Table 4 - Accent 6"/>
    <w:uiPriority w:val="59"/>
    <w:qFormat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6" w:customStyle="1">
    <w:name w:val="Таблица-сетка 5 темная1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98989" w:themeColor="text1" w:themeTint="75" w:fill="898989" w:themeFill="text1" w:themeFillTint="75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57" w:customStyle="1">
    <w:name w:val="Grid Table 5 Dark- Accent 1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5e0" w:themeColor="accent1" w:themeTint="75" w:fill="aec5e0" w:themeFill="accent1" w:themeFillTint="75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58" w:customStyle="1">
    <w:name w:val="Grid Table 5 Dark - Accent 2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59" w:customStyle="1">
    <w:name w:val="Grid Table 5 Dark - Accent 3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dfb2" w:themeColor="accent3" w:themeTint="75" w:fill="d1dfb2" w:themeFill="accent3" w:themeFillTint="75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60" w:customStyle="1">
    <w:name w:val="Grid Table 5 Dark- Accent 4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61" w:customStyle="1">
    <w:name w:val="Grid Table 5 Dark - Accent 5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62" w:customStyle="1">
    <w:name w:val="Grid Table 5 Dark - Accent 6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63" w:customStyle="1">
    <w:name w:val="Таблица-сетка 6 цветная1"/>
    <w:uiPriority w:val="99"/>
    <w:qFormat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styleId="764" w:customStyle="1">
    <w:name w:val="Grid Table 6 Colorful - Accent 1"/>
    <w:uiPriority w:val="99"/>
    <w:qFormat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styleId="765" w:customStyle="1">
    <w:name w:val="Grid Table 6 Colorful - Accent 2"/>
    <w:uiPriority w:val="99"/>
    <w:qFormat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styleId="766" w:customStyle="1">
    <w:name w:val="Grid Table 6 Colorful - Accent 3"/>
    <w:uiPriority w:val="99"/>
    <w:qFormat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bb59" w:themeColor="accent3"/>
        <w:sz w:val="22"/>
        <w14:textFill>
          <w14:solidFill>
            <w14:schemeClr w14:val="accent3"/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/>
        <w:sz w:val="22"/>
        <w14:textFill>
          <w14:solidFill>
            <w14:schemeClr w14:val="accent3"/>
          </w14:solidFill>
        </w14:textFill>
      </w:rPr>
    </w:tblStylePr>
    <w:tblStylePr w:type="firstCol">
      <w:rPr>
        <w:b/>
        <w:color w:val="9bbb59" w:themeColor="accent3"/>
        <w14:textFill>
          <w14:solidFill>
            <w14:schemeClr w14:val="accent3"/>
          </w14:solidFill>
        </w14:textFill>
      </w:rPr>
    </w:tblStylePr>
    <w:tblStylePr w:type="firstRow">
      <w:rPr>
        <w:b/>
        <w:color w:val="9bbb59" w:themeColor="accent3"/>
        <w14:textFill>
          <w14:solidFill>
            <w14:schemeClr w14:val="accent3"/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Col">
      <w:rPr>
        <w:b/>
        <w:color w:val="9bbb59" w:themeColor="accent3"/>
        <w14:textFill>
          <w14:solidFill>
            <w14:schemeClr w14:val="accent3"/>
          </w14:solidFill>
        </w14:textFill>
      </w:rPr>
    </w:tblStylePr>
    <w:tblStylePr w:type="lastRow">
      <w:rPr>
        <w:b/>
        <w:color w:val="9bbb59" w:themeColor="accent3"/>
        <w14:textFill>
          <w14:solidFill>
            <w14:schemeClr w14:val="accent3"/>
          </w14:solidFill>
        </w14:textFill>
      </w:rPr>
    </w:tblStylePr>
  </w:style>
  <w:style w:type="table" w:styleId="767" w:customStyle="1">
    <w:name w:val="Grid Table 6 Colorful - Accent 4"/>
    <w:uiPriority w:val="99"/>
    <w:qFormat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styleId="768" w:customStyle="1">
    <w:name w:val="Grid Table 6 Colorful - Accent 5"/>
    <w:uiPriority w:val="99"/>
    <w:qFormat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firstCol">
      <w:rPr>
        <w:b/>
        <w:color w:val="266778" w:themeColor="accent5" w:themeShade="94"/>
      </w:rPr>
    </w:tblStyle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8" w:themeColor="accent5" w:themeShade="94"/>
      </w:rPr>
    </w:tblStylePr>
    <w:tblStylePr w:type="lastRow">
      <w:rPr>
        <w:b/>
        <w:color w:val="266778" w:themeColor="accent5" w:themeShade="94"/>
      </w:rPr>
    </w:tblStylePr>
  </w:style>
  <w:style w:type="table" w:styleId="769" w:customStyle="1">
    <w:name w:val="Grid Table 6 Colorful - Accent 6"/>
    <w:uiPriority w:val="99"/>
    <w:qFormat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firstCol">
      <w:rPr>
        <w:b/>
        <w:color w:val="266778" w:themeColor="accent5" w:themeShade="94"/>
      </w:rPr>
    </w:tblStyle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8" w:themeColor="accent5" w:themeShade="94"/>
      </w:rPr>
    </w:tblStylePr>
    <w:tblStylePr w:type="lastRow">
      <w:rPr>
        <w:b/>
        <w:color w:val="266778" w:themeColor="accent5" w:themeShade="94"/>
      </w:rPr>
    </w:tblStylePr>
  </w:style>
  <w:style w:type="table" w:styleId="770" w:customStyle="1">
    <w:name w:val="Таблица-сетка 7 цветная1"/>
    <w:uiPriority w:val="99"/>
    <w:qFormat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1" w:customStyle="1">
    <w:name w:val="Grid Table 7 Colorful - Accent 1"/>
    <w:uiPriority w:val="99"/>
    <w:qFormat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2" w:customStyle="1">
    <w:name w:val="Grid Table 7 Colorful - Accent 2"/>
    <w:uiPriority w:val="99"/>
    <w:qFormat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7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D997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one" w:color="000000" w:sz="4" w:space="0"/>
          <w:left w:val="single" w:color="D997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3" w:customStyle="1">
    <w:name w:val="Grid Table 7 Colorful - Accent 3"/>
    <w:uiPriority w:val="99"/>
    <w:qFormat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bb59" w:themeColor="accent3"/>
        <w:sz w:val="22"/>
        <w14:textFill>
          <w14:solidFill>
            <w14:schemeClr w14:val="accent3"/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/>
        <w:sz w:val="22"/>
        <w14:textFill>
          <w14:solidFill>
            <w14:schemeClr w14:val="accent3"/>
          </w14:solidFill>
        </w14:textFill>
      </w:rPr>
    </w:tblStylePr>
    <w:tblStylePr w:type="firstCol">
      <w:rPr>
        <w:rFonts w:ascii="Arial" w:hAnsi="Arial"/>
        <w:i/>
        <w:color w:val="9bbb59" w:themeColor="accent3"/>
        <w:sz w:val="22"/>
        <w14:textFill>
          <w14:solidFill>
            <w14:schemeClr w14:val="accent3"/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9B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none" w:color="000000" w:sz="4" w:space="0"/>
          <w:left w:val="single" w:color="9B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single" w:color="9B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4" w:customStyle="1">
    <w:name w:val="Grid Table 7 Colorful - Accent 4"/>
    <w:uiPriority w:val="99"/>
    <w:qFormat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5" w:customStyle="1">
    <w:name w:val="Grid Table 7 Colorful - Accent 5"/>
    <w:uiPriority w:val="99"/>
    <w:qFormat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firstCol">
      <w:rPr>
        <w:rFonts w:ascii="Arial" w:hAnsi="Arial"/>
        <w:i/>
        <w:color w:val="266778" w:themeColor="accent5" w:themeShade="94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6" w:customStyle="1">
    <w:name w:val="Grid Table 7 Colorful - Accent 6"/>
    <w:uiPriority w:val="99"/>
    <w:qFormat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firstCol">
      <w:rPr>
        <w:rFonts w:ascii="Arial" w:hAnsi="Arial"/>
        <w:i/>
        <w:color w:val="b05408" w:themeColor="accent6" w:themeShade="94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7" w:customStyle="1">
    <w:name w:val="Список-таблица 1 светлая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2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3d2" w:themeColor="accent2" w:themeTint="40" w:fill="efd3d2" w:themeFill="accent2" w:themeFillTint="40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3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dd5" w:themeColor="accent3" w:themeTint="40" w:fill="e5edd5" w:themeFill="accent3" w:themeFillTint="40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4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5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6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ce4d0" w:themeColor="accent6" w:themeTint="40" w:fill="fce4d0" w:themeFill="accent6" w:themeFillTint="40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Список-таблица 21"/>
    <w:uiPriority w:val="99"/>
    <w:qFormat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1"/>
    <w:uiPriority w:val="99"/>
    <w:qFormat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2"/>
    <w:uiPriority w:val="99"/>
    <w:qFormat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one" w:color="000000" w:sz="4" w:space="0"/>
          <w:bottom w:val="single" w:color="DB9C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one" w:color="000000" w:sz="4" w:space="0"/>
          <w:bottom w:val="single" w:color="DB9C9A" w:themeColor="accent2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3"/>
    <w:uiPriority w:val="99"/>
    <w:qFormat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4"/>
    <w:uiPriority w:val="99"/>
    <w:qFormat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5"/>
    <w:uiPriority w:val="99"/>
    <w:qFormat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6"/>
    <w:uiPriority w:val="99"/>
    <w:qFormat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1" w:customStyle="1">
    <w:name w:val="Список-таблица 31"/>
    <w:uiPriority w:val="9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1"/>
    <w:uiPriority w:val="99"/>
    <w:qFormat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2"/>
    <w:uiPriority w:val="99"/>
    <w:qFormat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3"/>
    <w:uiPriority w:val="99"/>
    <w:qFormat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4"/>
    <w:uiPriority w:val="99"/>
    <w:qFormat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5"/>
    <w:uiPriority w:val="99"/>
    <w:qFormat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6"/>
    <w:uiPriority w:val="99"/>
    <w:qFormat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Список-таблица 41"/>
    <w:uiPriority w:val="9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1"/>
    <w:uiPriority w:val="99"/>
    <w:qFormat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2"/>
    <w:uiPriority w:val="99"/>
    <w:qFormat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3"/>
    <w:uiPriority w:val="99"/>
    <w:qFormat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4"/>
    <w:uiPriority w:val="99"/>
    <w:qFormat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5"/>
    <w:uiPriority w:val="99"/>
    <w:qFormat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6"/>
    <w:uiPriority w:val="99"/>
    <w:qFormat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Список-таблица 5 темная1"/>
    <w:uiPriority w:val="99"/>
    <w:qFormat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806" w:customStyle="1">
    <w:name w:val="List Table 5 Dark - Accent 1"/>
    <w:uiPriority w:val="99"/>
    <w:qFormat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807" w:customStyle="1">
    <w:name w:val="List Table 5 Dark - Accent 2"/>
    <w:uiPriority w:val="99"/>
    <w:qFormat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808" w:customStyle="1">
    <w:name w:val="List Table 5 Dark - Accent 3"/>
    <w:uiPriority w:val="99"/>
    <w:qFormat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809" w:customStyle="1">
    <w:name w:val="List Table 5 Dark - Accent 4"/>
    <w:uiPriority w:val="99"/>
    <w:qFormat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810" w:customStyle="1">
    <w:name w:val="List Table 5 Dark - Accent 5"/>
    <w:uiPriority w:val="99"/>
    <w:qFormat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811" w:customStyle="1">
    <w:name w:val="List Table 5 Dark - Accent 6"/>
    <w:uiPriority w:val="99"/>
    <w:qFormat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812" w:customStyle="1">
    <w:name w:val="Список-таблица 6 цветная1"/>
    <w:uiPriority w:val="99"/>
    <w:qFormat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</w:style>
  <w:style w:type="table" w:styleId="813" w:customStyle="1">
    <w:name w:val="List Table 6 Colorful - Accent 1"/>
    <w:uiPriority w:val="99"/>
    <w:qFormat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firstCol">
      <w:rPr>
        <w:b/>
        <w:color w:val="2a4b71" w:themeColor="accent1" w:themeShade="94"/>
      </w:rPr>
    </w:tblStyle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4"/>
      </w:r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</w:style>
  <w:style w:type="table" w:styleId="814" w:customStyle="1">
    <w:name w:val="List Table 6 Colorful - Accent 2"/>
    <w:uiPriority w:val="99"/>
    <w:qFormat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</w:style>
  <w:style w:type="table" w:styleId="815" w:customStyle="1">
    <w:name w:val="List Table 6 Colorful - Accent 3"/>
    <w:uiPriority w:val="99"/>
    <w:qFormat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</w:style>
  <w:style w:type="table" w:styleId="816" w:customStyle="1">
    <w:name w:val="List Table 6 Colorful - Accent 4"/>
    <w:uiPriority w:val="99"/>
    <w:qFormat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</w:style>
  <w:style w:type="table" w:styleId="817" w:customStyle="1">
    <w:name w:val="List Table 6 Colorful - Accent 5"/>
    <w:uiPriority w:val="99"/>
    <w:qFormat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</w:style>
  <w:style w:type="table" w:styleId="818" w:customStyle="1">
    <w:name w:val="List Table 6 Colorful - Accent 6"/>
    <w:uiPriority w:val="99"/>
    <w:qFormat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</w:style>
  <w:style w:type="table" w:styleId="819" w:customStyle="1">
    <w:name w:val="Список-таблица 7 цветная1"/>
    <w:uiPriority w:val="99"/>
    <w:qFormat/>
    <w:tblPr>
      <w:tblBorders>
        <w:right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0" w:customStyle="1">
    <w:name w:val="List Table 7 Colorful - Accent 1"/>
    <w:uiPriority w:val="99"/>
    <w:qFormat/>
    <w:tblPr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firstCol">
      <w:rPr>
        <w:rFonts w:ascii="Arial" w:hAnsi="Arial"/>
        <w:i/>
        <w:color w:val="2a4b71" w:themeColor="accent1" w:themeShade="94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1" w:customStyle="1">
    <w:name w:val="List Table 7 Colorful - Accent 2"/>
    <w:uiPriority w:val="99"/>
    <w:qFormat/>
    <w:tblPr>
      <w:tblBorders>
        <w:right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7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D997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one" w:color="000000" w:sz="4" w:space="0"/>
          <w:left w:val="single" w:color="D997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2" w:customStyle="1">
    <w:name w:val="List Table 7 Colorful - Accent 3"/>
    <w:uiPriority w:val="99"/>
    <w:qFormat/>
    <w:tblPr>
      <w:tblBorders>
        <w:right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C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C3D69C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single" w:color="C3D69C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3" w:customStyle="1">
    <w:name w:val="List Table 7 Colorful - Accent 4"/>
    <w:uiPriority w:val="99"/>
    <w:qFormat/>
    <w:tblPr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4" w:customStyle="1">
    <w:name w:val="List Table 7 Colorful - Accent 5"/>
    <w:uiPriority w:val="99"/>
    <w:qFormat/>
    <w:tblPr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5" w:customStyle="1">
    <w:name w:val="List Table 7 Colorful - Accent 6"/>
    <w:uiPriority w:val="99"/>
    <w:qFormat/>
    <w:tblPr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6" w:customStyle="1">
    <w:name w:val="Lined - Accent"/>
    <w:uiPriority w:val="99"/>
    <w:qFormat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827" w:customStyle="1">
    <w:name w:val="Lined - Accent 1"/>
    <w:uiPriority w:val="99"/>
    <w:qFormat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</w:style>
  <w:style w:type="table" w:styleId="828" w:customStyle="1">
    <w:name w:val="Lined - Accent 2"/>
    <w:uiPriority w:val="99"/>
    <w:qFormat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</w:style>
  <w:style w:type="table" w:styleId="829" w:customStyle="1">
    <w:name w:val="Lined - Accent 3"/>
    <w:uiPriority w:val="99"/>
    <w:qFormat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</w:style>
  <w:style w:type="table" w:styleId="830" w:customStyle="1">
    <w:name w:val="Lined - Accent 4"/>
    <w:uiPriority w:val="99"/>
    <w:qFormat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1" w:customStyle="1">
    <w:name w:val="Lined - Accent 5"/>
    <w:uiPriority w:val="99"/>
    <w:qFormat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2" w:customStyle="1">
    <w:name w:val="Lined - Accent 6"/>
    <w:uiPriority w:val="99"/>
    <w:qFormat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3" w:customStyle="1">
    <w:name w:val="Bordered &amp; Lined - Accent"/>
    <w:uiPriority w:val="99"/>
    <w:qFormat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834" w:customStyle="1">
    <w:name w:val="Bordered &amp; Lined - Accent 1"/>
    <w:uiPriority w:val="99"/>
    <w:qFormat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</w:style>
  <w:style w:type="table" w:styleId="835" w:customStyle="1">
    <w:name w:val="Bordered &amp; Lined - Accent 2"/>
    <w:uiPriority w:val="99"/>
    <w:qFormat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</w:style>
  <w:style w:type="table" w:styleId="836" w:customStyle="1">
    <w:name w:val="Bordered &amp; Lined - Accent 3"/>
    <w:uiPriority w:val="99"/>
    <w:qFormat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</w:style>
  <w:style w:type="table" w:styleId="837" w:customStyle="1">
    <w:name w:val="Bordered &amp; Lined - Accent 4"/>
    <w:uiPriority w:val="99"/>
    <w:qFormat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8" w:customStyle="1">
    <w:name w:val="Bordered &amp; Lined - Accent 5"/>
    <w:uiPriority w:val="99"/>
    <w:qFormat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9" w:customStyle="1">
    <w:name w:val="Bordered &amp; Lined - Accent 6"/>
    <w:uiPriority w:val="99"/>
    <w:qFormat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0" w:customStyle="1">
    <w:name w:val="Bordered"/>
    <w:uiPriority w:val="99"/>
    <w:qFormat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</w:style>
  <w:style w:type="table" w:styleId="841" w:customStyle="1">
    <w:name w:val="Bordered - Accent 1"/>
    <w:uiPriority w:val="99"/>
    <w:qFormat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2" w:customStyle="1">
    <w:name w:val="Bordered - Accent 2"/>
    <w:uiPriority w:val="99"/>
    <w:qFormat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</w:style>
  <w:style w:type="table" w:styleId="843" w:customStyle="1">
    <w:name w:val="Bordered - Accent 3"/>
    <w:uiPriority w:val="99"/>
    <w:qFormat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</w:style>
  <w:style w:type="table" w:styleId="844" w:customStyle="1">
    <w:name w:val="Bordered - Accent 4"/>
    <w:uiPriority w:val="99"/>
    <w:qFormat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5" w:customStyle="1">
    <w:name w:val="Bordered - Accent 5"/>
    <w:uiPriority w:val="99"/>
    <w:qFormat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6" w:customStyle="1">
    <w:name w:val="Bordered - Accent 6"/>
    <w:uiPriority w:val="99"/>
    <w:qFormat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7" w:customStyle="1">
    <w:name w:val="Текст сноски Знак"/>
    <w:link w:val="686"/>
    <w:uiPriority w:val="99"/>
    <w:qFormat/>
    <w:rPr>
      <w:sz w:val="18"/>
    </w:rPr>
  </w:style>
  <w:style w:type="character" w:styleId="848" w:customStyle="1">
    <w:name w:val="Текст концевой сноски Знак"/>
    <w:link w:val="684"/>
    <w:uiPriority w:val="99"/>
    <w:qFormat/>
    <w:rPr>
      <w:sz w:val="20"/>
    </w:rPr>
  </w:style>
  <w:style w:type="paragraph" w:styleId="849" w:customStyle="1">
    <w:name w:val="Заголовок оглавления1"/>
    <w:uiPriority w:val="39"/>
    <w:unhideWhenUsed/>
    <w:qFormat/>
    <w:rPr>
      <w:rFonts w:ascii="Times New Roman" w:hAnsi="Times New Roman" w:eastAsia="SimSun" w:cs="Times New Roman"/>
      <w:lang w:val="ru-RU" w:eastAsia="zh-CN" w:bidi="ar-SA"/>
    </w:rPr>
  </w:style>
  <w:style w:type="character" w:styleId="850" w:customStyle="1">
    <w:name w:val="Основной шрифт абзаца1"/>
    <w:uiPriority w:val="1"/>
    <w:unhideWhenUsed/>
    <w:qFormat/>
  </w:style>
  <w:style w:type="table" w:styleId="851" w:customStyle="1">
    <w:name w:val="Обычная таблица1"/>
    <w:uiPriority w:val="99"/>
    <w:unhideWhenUsed/>
    <w:qFormat/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852" w:customStyle="1">
    <w:name w:val="Просмотренная гиперссылка1"/>
    <w:uiPriority w:val="99"/>
    <w:unhideWhenUsed/>
    <w:qFormat/>
    <w:rPr>
      <w:color w:val="800080"/>
      <w:u w:val="single"/>
    </w:rPr>
  </w:style>
  <w:style w:type="character" w:styleId="853" w:customStyle="1">
    <w:name w:val="Знак примечания1"/>
    <w:uiPriority w:val="99"/>
    <w:unhideWhenUsed/>
    <w:qFormat/>
    <w:rPr>
      <w:sz w:val="16"/>
      <w:szCs w:val="16"/>
    </w:rPr>
  </w:style>
  <w:style w:type="character" w:styleId="854" w:customStyle="1">
    <w:name w:val="Гиперссылка1"/>
    <w:uiPriority w:val="99"/>
    <w:unhideWhenUsed/>
    <w:qFormat/>
    <w:rPr>
      <w:color w:val="0000ff"/>
      <w:u w:val="single"/>
    </w:rPr>
  </w:style>
  <w:style w:type="paragraph" w:styleId="855" w:customStyle="1">
    <w:name w:val="Текст выноски1"/>
    <w:basedOn w:val="668"/>
    <w:link w:val="856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6" w:customStyle="1">
    <w:name w:val="Текст выноски Знак"/>
    <w:link w:val="855"/>
    <w:uiPriority w:val="99"/>
    <w:semiHidden/>
    <w:qFormat/>
    <w:rPr>
      <w:rFonts w:ascii="Tahoma" w:hAnsi="Tahoma" w:cs="Tahoma"/>
      <w:sz w:val="16"/>
      <w:szCs w:val="16"/>
    </w:rPr>
  </w:style>
  <w:style w:type="paragraph" w:styleId="857" w:customStyle="1">
    <w:name w:val="Текст примечания1"/>
    <w:basedOn w:val="668"/>
    <w:link w:val="858"/>
    <w:uiPriority w:val="99"/>
    <w:unhideWhenUsed/>
    <w:qFormat/>
    <w:pPr>
      <w:spacing w:line="240" w:lineRule="auto"/>
    </w:pPr>
    <w:rPr>
      <w:sz w:val="20"/>
      <w:szCs w:val="20"/>
    </w:rPr>
  </w:style>
  <w:style w:type="character" w:styleId="858" w:customStyle="1">
    <w:name w:val="Текст примечания Знак"/>
    <w:link w:val="857"/>
    <w:uiPriority w:val="99"/>
    <w:semiHidden/>
    <w:qFormat/>
    <w:rPr>
      <w:sz w:val="20"/>
      <w:szCs w:val="20"/>
    </w:rPr>
  </w:style>
  <w:style w:type="paragraph" w:styleId="859" w:customStyle="1">
    <w:name w:val="Тема примечания1"/>
    <w:basedOn w:val="857"/>
    <w:next w:val="857"/>
    <w:link w:val="860"/>
    <w:uiPriority w:val="99"/>
    <w:unhideWhenUsed/>
    <w:qFormat/>
    <w:rPr>
      <w:b/>
      <w:bCs/>
    </w:rPr>
  </w:style>
  <w:style w:type="character" w:styleId="860" w:customStyle="1">
    <w:name w:val="Тема примечания Знак"/>
    <w:link w:val="859"/>
    <w:uiPriority w:val="99"/>
    <w:semiHidden/>
    <w:qFormat/>
    <w:rPr>
      <w:b/>
      <w:bCs/>
      <w:sz w:val="20"/>
      <w:szCs w:val="20"/>
    </w:rPr>
  </w:style>
  <w:style w:type="paragraph" w:styleId="861" w:customStyle="1">
    <w:name w:val="Верхний колонтитул1"/>
    <w:basedOn w:val="668"/>
    <w:link w:val="862"/>
    <w:uiPriority w:val="99"/>
    <w:unhideWhenUsed/>
    <w:qFormat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862" w:customStyle="1">
    <w:name w:val="Верхний колонтитул Знак"/>
    <w:link w:val="861"/>
    <w:uiPriority w:val="99"/>
    <w:qFormat/>
  </w:style>
  <w:style w:type="paragraph" w:styleId="863" w:customStyle="1">
    <w:name w:val="Нижний колонтитул1"/>
    <w:basedOn w:val="668"/>
    <w:link w:val="864"/>
    <w:uiPriority w:val="99"/>
    <w:unhideWhenUsed/>
    <w:qFormat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864" w:customStyle="1">
    <w:name w:val="Нижний колонтитул Знак"/>
    <w:link w:val="863"/>
    <w:uiPriority w:val="99"/>
    <w:qFormat/>
  </w:style>
  <w:style w:type="paragraph" w:styleId="865" w:customStyle="1">
    <w:name w:val="ConsPlusNormal"/>
    <w:link w:val="866"/>
    <w:uiPriority w:val="0"/>
    <w:qFormat/>
    <w:pPr>
      <w:widowControl w:val="off"/>
    </w:pPr>
    <w:rPr>
      <w:rFonts w:ascii="Times New Roman" w:hAnsi="Times New Roman" w:eastAsia="Times New Roman" w:cs="Calibri"/>
      <w:sz w:val="22"/>
      <w:lang w:val="ru-RU" w:eastAsia="ru-RU" w:bidi="ar-SA"/>
    </w:rPr>
  </w:style>
  <w:style w:type="character" w:styleId="866" w:customStyle="1">
    <w:name w:val="ConsPlusNormal Знак"/>
    <w:link w:val="865"/>
    <w:uiPriority w:val="0"/>
    <w:qFormat/>
    <w:rPr>
      <w:rFonts w:ascii="Calibri" w:hAnsi="Calibri" w:eastAsia="Times New Roman" w:cs="Calibri"/>
      <w:szCs w:val="20"/>
      <w:lang w:eastAsia="ru-RU"/>
    </w:rPr>
  </w:style>
  <w:style w:type="paragraph" w:styleId="867" w:customStyle="1">
    <w:name w:val="ConsPlusTitle"/>
    <w:uiPriority w:val="0"/>
    <w:qFormat/>
    <w:pPr>
      <w:widowControl w:val="off"/>
    </w:pPr>
    <w:rPr>
      <w:rFonts w:ascii="Times New Roman" w:hAnsi="Times New Roman" w:eastAsia="Times New Roman" w:cs="Calibri"/>
      <w:b/>
      <w:sz w:val="22"/>
      <w:lang w:val="ru-RU" w:eastAsia="ru-RU" w:bidi="ar-SA"/>
    </w:rPr>
  </w:style>
  <w:style w:type="paragraph" w:styleId="868" w:customStyle="1">
    <w:name w:val="Без интервала1"/>
    <w:uiPriority w:val="1"/>
    <w:qFormat/>
    <w:rPr>
      <w:rFonts w:ascii="Times New Roman" w:hAnsi="Times New Roman" w:eastAsia="SimSun" w:cs="Times New Roman"/>
      <w:sz w:val="22"/>
      <w:szCs w:val="22"/>
      <w:lang w:val="ru-RU" w:eastAsia="en-US" w:bidi="ar-SA"/>
    </w:rPr>
  </w:style>
  <w:style w:type="paragraph" w:styleId="869" w:customStyle="1">
    <w:name w:val="font5"/>
    <w:basedOn w:val="668"/>
    <w:uiPriority w:val="0"/>
    <w:qFormat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870" w:customStyle="1">
    <w:name w:val="font6"/>
    <w:basedOn w:val="668"/>
    <w:uiPriority w:val="0"/>
    <w:qFormat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871" w:customStyle="1">
    <w:name w:val="font7"/>
    <w:basedOn w:val="668"/>
    <w:uiPriority w:val="0"/>
    <w:qFormat/>
    <w:pPr>
      <w:spacing w:before="100" w:beforeAutospacing="1" w:after="100" w:afterAutospacing="1" w:line="240" w:lineRule="auto"/>
    </w:pPr>
    <w:rPr>
      <w:rFonts w:ascii="Calibri" w:hAnsi="Calibri" w:eastAsia="Times New Roman" w:cs="Calibri"/>
      <w:color w:val="000000"/>
      <w:sz w:val="16"/>
      <w:szCs w:val="16"/>
      <w:lang w:eastAsia="ru-RU"/>
    </w:rPr>
  </w:style>
  <w:style w:type="paragraph" w:styleId="872" w:customStyle="1">
    <w:name w:val="xl66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73" w:customStyle="1">
    <w:name w:val="xl67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74" w:customStyle="1">
    <w:name w:val="xl68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875" w:customStyle="1">
    <w:name w:val="xl69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876" w:customStyle="1">
    <w:name w:val="xl70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877" w:customStyle="1">
    <w:name w:val="xl71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78" w:customStyle="1">
    <w:name w:val="xl72"/>
    <w:basedOn w:val="668"/>
    <w:uiPriority w:val="0"/>
    <w:qFormat/>
    <w:pP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  <w:lang w:eastAsia="ru-RU"/>
    </w:rPr>
  </w:style>
  <w:style w:type="paragraph" w:styleId="879" w:customStyle="1">
    <w:name w:val="xl73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880" w:customStyle="1">
    <w:name w:val="xl74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881" w:customStyle="1">
    <w:name w:val="xl75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882" w:customStyle="1">
    <w:name w:val="xl76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6"/>
      <w:szCs w:val="16"/>
      <w:lang w:eastAsia="ru-RU"/>
    </w:rPr>
  </w:style>
  <w:style w:type="paragraph" w:styleId="883" w:customStyle="1">
    <w:name w:val="xl77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884" w:customStyle="1">
    <w:name w:val="xl78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885" w:customStyle="1">
    <w:name w:val="xl79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86" w:customStyle="1">
    <w:name w:val="xl80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887" w:customStyle="1">
    <w:name w:val="xl81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88" w:customStyle="1">
    <w:name w:val="xl82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6"/>
      <w:szCs w:val="16"/>
      <w:lang w:eastAsia="ru-RU"/>
    </w:rPr>
  </w:style>
  <w:style w:type="paragraph" w:styleId="889" w:customStyle="1">
    <w:name w:val="xl83"/>
    <w:basedOn w:val="668"/>
    <w:uiPriority w:val="0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890" w:customStyle="1">
    <w:name w:val="xl84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891" w:customStyle="1">
    <w:name w:val="xl85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92" w:customStyle="1">
    <w:name w:val="xl86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893" w:customStyle="1">
    <w:name w:val="xl87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94" w:customStyle="1">
    <w:name w:val="xl88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95" w:customStyle="1">
    <w:name w:val="xl89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896" w:customStyle="1">
    <w:name w:val="xl90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897" w:customStyle="1">
    <w:name w:val="xl91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898" w:customStyle="1">
    <w:name w:val="xl92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899" w:customStyle="1">
    <w:name w:val="xl93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00" w:customStyle="1">
    <w:name w:val="xl94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01" w:customStyle="1">
    <w:name w:val="xl95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02" w:customStyle="1">
    <w:name w:val="xl96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903" w:customStyle="1">
    <w:name w:val="xl97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04" w:customStyle="1">
    <w:name w:val="xl98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905" w:customStyle="1">
    <w:name w:val="xl99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06" w:customStyle="1">
    <w:name w:val="xl100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907" w:customStyle="1">
    <w:name w:val="xl101"/>
    <w:basedOn w:val="668"/>
    <w:uiPriority w:val="0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08" w:customStyle="1">
    <w:name w:val="xl102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909" w:customStyle="1">
    <w:name w:val="xl103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10" w:customStyle="1">
    <w:name w:val="xl104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11" w:customStyle="1">
    <w:name w:val="xl105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12" w:customStyle="1">
    <w:name w:val="xl106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913" w:customStyle="1">
    <w:name w:val="xl107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14" w:customStyle="1">
    <w:name w:val="xl108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915" w:customStyle="1">
    <w:name w:val="xl109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16" w:customStyle="1">
    <w:name w:val="xl110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17" w:customStyle="1">
    <w:name w:val="xl111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18" w:customStyle="1">
    <w:name w:val="xl112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16"/>
      <w:szCs w:val="16"/>
      <w:lang w:eastAsia="ru-RU"/>
    </w:rPr>
  </w:style>
  <w:style w:type="paragraph" w:styleId="919" w:customStyle="1">
    <w:name w:val="xl113"/>
    <w:basedOn w:val="668"/>
    <w:uiPriority w:val="0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20" w:customStyle="1">
    <w:name w:val="xl114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21" w:customStyle="1">
    <w:name w:val="xl115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922" w:customStyle="1">
    <w:name w:val="xl116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923" w:customStyle="1">
    <w:name w:val="xl117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24" w:customStyle="1">
    <w:name w:val="xl118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925" w:customStyle="1">
    <w:name w:val="xl119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26" w:customStyle="1">
    <w:name w:val="xl120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27" w:customStyle="1">
    <w:name w:val="xl121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28" w:customStyle="1">
    <w:name w:val="xl122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29" w:customStyle="1">
    <w:name w:val="xl123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930" w:customStyle="1">
    <w:name w:val="xl124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931" w:customStyle="1">
    <w:name w:val="xl125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ff0000"/>
      <w:sz w:val="16"/>
      <w:szCs w:val="16"/>
      <w:lang w:eastAsia="ru-RU"/>
    </w:rPr>
  </w:style>
  <w:style w:type="paragraph" w:styleId="932" w:customStyle="1">
    <w:name w:val="xl126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ff0000"/>
      <w:sz w:val="16"/>
      <w:szCs w:val="16"/>
      <w:lang w:eastAsia="ru-RU"/>
    </w:rPr>
  </w:style>
  <w:style w:type="paragraph" w:styleId="933" w:customStyle="1">
    <w:name w:val="xl127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ff0000"/>
      <w:sz w:val="16"/>
      <w:szCs w:val="16"/>
      <w:lang w:eastAsia="ru-RU"/>
    </w:rPr>
  </w:style>
  <w:style w:type="paragraph" w:styleId="934" w:customStyle="1">
    <w:name w:val="xl128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35" w:customStyle="1">
    <w:name w:val="xl129"/>
    <w:basedOn w:val="668"/>
    <w:uiPriority w:val="0"/>
    <w:qFormat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36" w:customStyle="1">
    <w:name w:val="xl130"/>
    <w:basedOn w:val="668"/>
    <w:uiPriority w:val="0"/>
    <w:qFormat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37" w:customStyle="1">
    <w:name w:val="xl131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38" w:customStyle="1">
    <w:name w:val="xl132"/>
    <w:basedOn w:val="668"/>
    <w:uiPriority w:val="0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39" w:customStyle="1">
    <w:name w:val="xl133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40" w:customStyle="1">
    <w:name w:val="xl134"/>
    <w:basedOn w:val="668"/>
    <w:uiPriority w:val="0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41" w:customStyle="1">
    <w:name w:val="xl135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42" w:customStyle="1">
    <w:name w:val="xl136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943" w:customStyle="1">
    <w:name w:val="xl137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944" w:customStyle="1">
    <w:name w:val="xl138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45" w:customStyle="1">
    <w:name w:val="xl139"/>
    <w:basedOn w:val="668"/>
    <w:uiPriority w:val="0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46" w:customStyle="1">
    <w:name w:val="xl140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947" w:customStyle="1">
    <w:name w:val="xl141"/>
    <w:basedOn w:val="668"/>
    <w:uiPriority w:val="0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948" w:customStyle="1">
    <w:name w:val="xl142"/>
    <w:basedOn w:val="668"/>
    <w:uiPriority w:val="0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49" w:customStyle="1">
    <w:name w:val="xl143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50" w:customStyle="1">
    <w:name w:val="xl144"/>
    <w:basedOn w:val="668"/>
    <w:uiPriority w:val="0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951" w:customStyle="1">
    <w:name w:val="xl145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952" w:customStyle="1">
    <w:name w:val="xl146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53" w:customStyle="1">
    <w:name w:val="xl147"/>
    <w:basedOn w:val="668"/>
    <w:uiPriority w:val="0"/>
    <w:qFormat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954" w:customStyle="1">
    <w:name w:val="xl148"/>
    <w:basedOn w:val="668"/>
    <w:uiPriority w:val="0"/>
    <w:qFormat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styleId="955" w:customStyle="1">
    <w:name w:val="xl149"/>
    <w:basedOn w:val="668"/>
    <w:uiPriority w:val="0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styleId="956" w:customStyle="1">
    <w:name w:val="xl150"/>
    <w:basedOn w:val="668"/>
    <w:uiPriority w:val="0"/>
    <w:qFormat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57" w:customStyle="1">
    <w:name w:val="xl151"/>
    <w:basedOn w:val="668"/>
    <w:uiPriority w:val="0"/>
    <w:qFormat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58" w:customStyle="1">
    <w:name w:val="xl152"/>
    <w:basedOn w:val="668"/>
    <w:uiPriority w:val="0"/>
    <w:qFormat/>
    <w:pPr>
      <w:pBdr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959" w:customStyle="1">
    <w:name w:val="xl153"/>
    <w:basedOn w:val="668"/>
    <w:uiPriority w:val="0"/>
    <w:qFormat/>
    <w:pPr>
      <w:pBdr>
        <w:bottom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960" w:customStyle="1">
    <w:name w:val="xl154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61" w:customStyle="1">
    <w:name w:val="xl155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62" w:customStyle="1">
    <w:name w:val="xl156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63" w:customStyle="1">
    <w:name w:val="xl157"/>
    <w:basedOn w:val="668"/>
    <w:uiPriority w:val="0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964" w:customStyle="1">
    <w:name w:val="xl158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color w:val="000000"/>
      <w:sz w:val="16"/>
      <w:szCs w:val="16"/>
      <w:lang w:eastAsia="ru-RU"/>
    </w:rPr>
  </w:style>
  <w:style w:type="paragraph" w:styleId="965" w:customStyle="1">
    <w:name w:val="xl159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66" w:customStyle="1">
    <w:name w:val="xl160"/>
    <w:basedOn w:val="668"/>
    <w:uiPriority w:val="0"/>
    <w:qFormat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styleId="967" w:customStyle="1">
    <w:name w:val="xl161"/>
    <w:basedOn w:val="668"/>
    <w:uiPriority w:val="0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68" w:customStyle="1">
    <w:name w:val="xl162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69" w:customStyle="1">
    <w:name w:val="xl163"/>
    <w:basedOn w:val="668"/>
    <w:uiPriority w:val="0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70" w:customStyle="1">
    <w:name w:val="xl164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71" w:customStyle="1">
    <w:name w:val="xl165"/>
    <w:basedOn w:val="668"/>
    <w:uiPriority w:val="0"/>
    <w:qFormat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72" w:customStyle="1">
    <w:name w:val="xl166"/>
    <w:basedOn w:val="668"/>
    <w:uiPriority w:val="0"/>
    <w:qFormat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73" w:customStyle="1">
    <w:name w:val="xl167"/>
    <w:basedOn w:val="668"/>
    <w:uiPriority w:val="0"/>
    <w:qFormat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styleId="974" w:customStyle="1">
    <w:name w:val="Без интервала11"/>
    <w:uiPriority w:val="1"/>
    <w:qFormat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SimSun" w:cs="Times New Roman"/>
      <w:sz w:val="22"/>
      <w:szCs w:val="22"/>
      <w:lang w:val="ru-RU" w:eastAsia="en-US" w:bidi="ar-SA"/>
    </w:rPr>
  </w:style>
  <w:style w:type="character" w:styleId="975" w:customStyle="1">
    <w:name w:val="Текст выноски Знак1"/>
    <w:basedOn w:val="678"/>
    <w:link w:val="683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numbering" w:styleId="1221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4</DocSecurity>
  <LinksUpToDate>false</LinksUpToDate>
  <ScaleCrop>false</ScaleCrop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Татаринова Наталья Александровна</dc:creator>
  <cp:lastModifiedBy>BordunAO</cp:lastModifiedBy>
  <cp:revision>3</cp:revision>
  <dcterms:created xsi:type="dcterms:W3CDTF">2025-12-17T05:40:00Z</dcterms:created>
  <dcterms:modified xsi:type="dcterms:W3CDTF">2025-12-26T03:31:27Z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807DB302DA0049E5A269823103F2EC3E_13</vt:lpwstr>
  </property>
</Properties>
</file>